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576" w:lineRule="exact"/>
        <w:ind w:firstLine="640"/>
        <w:rPr>
          <w:rFonts w:ascii="仿宋_GB2312" w:hAnsi="仿宋_GB2312" w:eastAsia="仿宋_GB2312" w:cs="仿宋_GB2312"/>
          <w:szCs w:val="32"/>
        </w:rPr>
      </w:pPr>
      <w:r>
        <w:rPr>
          <w:rFonts w:ascii="仿宋_GB2312" w:hAnsi="仿宋_GB2312" w:eastAsia="仿宋_GB2312" w:cs="仿宋_GB2312"/>
          <w:szCs w:val="32"/>
        </w:rPr>
        <w:drawing>
          <wp:anchor distT="0" distB="0" distL="114300" distR="114300" simplePos="0" relativeHeight="251659264" behindDoc="0" locked="0" layoutInCell="1" allowOverlap="1">
            <wp:simplePos x="0" y="0"/>
            <wp:positionH relativeFrom="column">
              <wp:posOffset>-92075</wp:posOffset>
            </wp:positionH>
            <wp:positionV relativeFrom="paragraph">
              <wp:posOffset>333375</wp:posOffset>
            </wp:positionV>
            <wp:extent cx="5688330" cy="1078865"/>
            <wp:effectExtent l="0" t="0" r="762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88330" cy="1078865"/>
                    </a:xfrm>
                    <a:prstGeom prst="rect">
                      <a:avLst/>
                    </a:prstGeom>
                  </pic:spPr>
                </pic:pic>
              </a:graphicData>
            </a:graphic>
          </wp:anchor>
        </w:drawing>
      </w:r>
    </w:p>
    <w:p>
      <w:pPr>
        <w:pStyle w:val="2"/>
        <w:spacing w:line="576" w:lineRule="exact"/>
        <w:ind w:firstLine="883"/>
        <w:jc w:val="center"/>
        <w:rPr>
          <w:rFonts w:ascii="方正小标宋简体" w:hAnsi="方正小标宋简体" w:eastAsia="方正小标宋简体" w:cs="方正小标宋简体"/>
          <w:b/>
          <w:bCs/>
          <w:sz w:val="44"/>
          <w:szCs w:val="44"/>
        </w:rPr>
      </w:pPr>
    </w:p>
    <w:p>
      <w:pPr>
        <w:pStyle w:val="2"/>
        <w:spacing w:line="576" w:lineRule="exact"/>
        <w:ind w:firstLine="883"/>
        <w:jc w:val="center"/>
        <w:rPr>
          <w:rFonts w:ascii="方正小标宋简体" w:hAnsi="方正小标宋简体" w:eastAsia="方正小标宋简体" w:cs="方正小标宋简体"/>
          <w:b/>
          <w:bCs/>
          <w:sz w:val="44"/>
          <w:szCs w:val="44"/>
        </w:rPr>
      </w:pPr>
    </w:p>
    <w:p>
      <w:pPr>
        <w:pStyle w:val="2"/>
        <w:spacing w:line="576" w:lineRule="exact"/>
        <w:ind w:firstLine="3082" w:firstLineChars="700"/>
        <w:rPr>
          <w:rFonts w:ascii="方正小标宋简体" w:hAnsi="方正小标宋简体" w:eastAsia="方正小标宋简体" w:cs="方正小标宋简体"/>
          <w:b/>
          <w:bCs/>
          <w:sz w:val="44"/>
          <w:szCs w:val="44"/>
        </w:rPr>
      </w:pPr>
    </w:p>
    <w:p>
      <w:pPr>
        <w:pStyle w:val="2"/>
        <w:spacing w:line="576" w:lineRule="exact"/>
        <w:ind w:firstLine="3082" w:firstLineChars="700"/>
        <w:rPr>
          <w:rFonts w:ascii="方正小标宋简体" w:hAnsi="方正小标宋简体" w:eastAsia="方正小标宋简体" w:cs="方正小标宋简体"/>
          <w:b/>
          <w:bCs/>
          <w:sz w:val="44"/>
          <w:szCs w:val="44"/>
        </w:rPr>
      </w:pPr>
    </w:p>
    <w:p>
      <w:pPr>
        <w:pStyle w:val="2"/>
        <w:spacing w:line="576" w:lineRule="exact"/>
        <w:ind w:firstLine="3082" w:firstLineChars="700"/>
        <w:rPr>
          <w:rFonts w:ascii="方正小标宋简体" w:hAnsi="方正小标宋简体" w:eastAsia="方正小标宋简体" w:cs="方正小标宋简体"/>
          <w:b/>
          <w:bCs/>
          <w:sz w:val="44"/>
          <w:szCs w:val="44"/>
        </w:rPr>
      </w:pPr>
    </w:p>
    <w:p>
      <w:pPr>
        <w:pStyle w:val="2"/>
        <w:spacing w:line="576" w:lineRule="exact"/>
        <w:ind w:firstLine="3534" w:firstLineChars="800"/>
        <w:jc w:val="both"/>
        <w:rPr>
          <w:rFonts w:ascii="黑体" w:hAnsi="黑体" w:cs="方正小标宋简体"/>
          <w:b/>
          <w:bCs/>
          <w:sz w:val="44"/>
          <w:szCs w:val="44"/>
        </w:rPr>
      </w:pPr>
      <w:r>
        <w:rPr>
          <w:rFonts w:hint="eastAsia" w:ascii="黑体" w:hAnsi="黑体" w:cs="方正小标宋简体"/>
          <w:b/>
          <w:bCs/>
          <w:sz w:val="44"/>
          <w:szCs w:val="44"/>
          <w:lang w:eastAsia="zh-CN"/>
        </w:rPr>
        <w:t>金融科技应用</w:t>
      </w:r>
      <w:r>
        <w:rPr>
          <w:rFonts w:hint="eastAsia" w:ascii="黑体" w:hAnsi="黑体" w:cs="方正小标宋简体"/>
          <w:b/>
          <w:bCs/>
          <w:sz w:val="44"/>
          <w:szCs w:val="44"/>
        </w:rPr>
        <w:t>专业</w:t>
      </w:r>
    </w:p>
    <w:p>
      <w:pPr>
        <w:pStyle w:val="2"/>
        <w:spacing w:line="576" w:lineRule="exact"/>
        <w:ind w:firstLine="3092" w:firstLineChars="700"/>
        <w:jc w:val="both"/>
        <w:rPr>
          <w:rFonts w:ascii="黑体" w:hAnsi="黑体" w:cs="方正小标宋简体"/>
          <w:b/>
          <w:bCs/>
          <w:sz w:val="44"/>
          <w:szCs w:val="44"/>
        </w:rPr>
      </w:pPr>
      <w:r>
        <w:rPr>
          <w:rFonts w:hint="eastAsia" w:ascii="黑体" w:hAnsi="黑体" w:cs="方正小标宋简体"/>
          <w:b/>
          <w:bCs/>
          <w:sz w:val="44"/>
          <w:szCs w:val="44"/>
        </w:rPr>
        <w:t>20</w:t>
      </w:r>
      <w:r>
        <w:rPr>
          <w:rFonts w:ascii="黑体" w:hAnsi="黑体" w:cs="方正小标宋简体"/>
          <w:b/>
          <w:bCs/>
          <w:sz w:val="44"/>
          <w:szCs w:val="44"/>
        </w:rPr>
        <w:t>22</w:t>
      </w:r>
      <w:r>
        <w:rPr>
          <w:rFonts w:hint="eastAsia" w:ascii="黑体" w:hAnsi="黑体" w:cs="方正小标宋简体"/>
          <w:b/>
          <w:bCs/>
          <w:sz w:val="44"/>
          <w:szCs w:val="44"/>
        </w:rPr>
        <w:t>级人才培养方案</w:t>
      </w:r>
    </w:p>
    <w:p>
      <w:pPr>
        <w:pStyle w:val="2"/>
        <w:spacing w:line="576" w:lineRule="exact"/>
        <w:ind w:firstLine="883"/>
        <w:jc w:val="center"/>
        <w:rPr>
          <w:rFonts w:ascii="方正小标宋简体" w:hAnsi="方正小标宋简体" w:eastAsia="方正小标宋简体" w:cs="方正小标宋简体"/>
          <w:b/>
          <w:bCs/>
          <w:sz w:val="44"/>
          <w:szCs w:val="44"/>
        </w:rPr>
      </w:pPr>
    </w:p>
    <w:p>
      <w:pPr>
        <w:pStyle w:val="2"/>
        <w:spacing w:line="576" w:lineRule="exact"/>
        <w:ind w:firstLine="883"/>
        <w:jc w:val="center"/>
        <w:rPr>
          <w:rFonts w:ascii="方正小标宋简体" w:hAnsi="方正小标宋简体" w:eastAsia="方正小标宋简体" w:cs="方正小标宋简体"/>
          <w:b/>
          <w:bCs/>
          <w:sz w:val="44"/>
          <w:szCs w:val="44"/>
        </w:rPr>
      </w:pPr>
    </w:p>
    <w:p>
      <w:pPr>
        <w:ind w:firstLine="2570" w:firstLineChars="800"/>
        <w:jc w:val="left"/>
        <w:rPr>
          <w:rFonts w:ascii="黑体" w:hAnsi="黑体" w:eastAsia="黑体"/>
          <w:b/>
          <w:bCs/>
          <w:sz w:val="32"/>
          <w:szCs w:val="32"/>
        </w:rPr>
      </w:pPr>
      <w:r>
        <w:rPr>
          <w:rFonts w:hint="eastAsia" w:ascii="黑体" w:hAnsi="黑体" w:eastAsia="黑体"/>
          <w:b/>
          <w:bCs/>
          <w:sz w:val="32"/>
          <w:szCs w:val="32"/>
        </w:rPr>
        <w:t>编制人：</w:t>
      </w:r>
      <w:r>
        <w:rPr>
          <w:rFonts w:hint="eastAsia" w:ascii="黑体" w:hAnsi="黑体" w:eastAsia="黑体"/>
          <w:b/>
          <w:bCs/>
          <w:sz w:val="32"/>
          <w:szCs w:val="32"/>
          <w:lang w:eastAsia="zh-CN"/>
        </w:rPr>
        <w:t>张丹丹、王世忠、马小凤</w:t>
      </w:r>
    </w:p>
    <w:p>
      <w:pPr>
        <w:ind w:firstLine="2570" w:firstLineChars="800"/>
        <w:jc w:val="left"/>
        <w:rPr>
          <w:rFonts w:hint="default" w:ascii="黑体" w:hAnsi="黑体" w:eastAsia="黑体"/>
          <w:b/>
          <w:bCs/>
          <w:sz w:val="32"/>
          <w:szCs w:val="32"/>
          <w:lang w:val="en-US" w:eastAsia="zh-CN"/>
        </w:rPr>
      </w:pPr>
      <w:r>
        <w:rPr>
          <w:rFonts w:hint="eastAsia" w:ascii="黑体" w:hAnsi="黑体" w:eastAsia="黑体"/>
          <w:b/>
          <w:bCs/>
          <w:sz w:val="32"/>
          <w:szCs w:val="32"/>
        </w:rPr>
        <w:t>行业企业参与者：</w:t>
      </w:r>
      <w:r>
        <w:rPr>
          <w:rFonts w:hint="eastAsia" w:ascii="黑体" w:hAnsi="黑体" w:eastAsia="黑体"/>
          <w:b/>
          <w:bCs/>
          <w:sz w:val="32"/>
          <w:szCs w:val="32"/>
          <w:lang w:eastAsia="zh-CN"/>
        </w:rPr>
        <w:t>谷娟 白健 徐文琪</w:t>
      </w:r>
    </w:p>
    <w:p>
      <w:pPr>
        <w:ind w:firstLine="2570" w:firstLineChars="800"/>
        <w:jc w:val="left"/>
        <w:rPr>
          <w:rFonts w:hint="eastAsia" w:ascii="黑体" w:hAnsi="黑体" w:eastAsia="黑体"/>
          <w:b/>
          <w:bCs/>
          <w:sz w:val="32"/>
          <w:szCs w:val="32"/>
          <w:lang w:eastAsia="zh-CN"/>
        </w:rPr>
      </w:pPr>
      <w:r>
        <w:rPr>
          <w:rFonts w:hint="eastAsia" w:ascii="黑体" w:hAnsi="黑体" w:eastAsia="黑体"/>
          <w:b/>
          <w:bCs/>
          <w:sz w:val="32"/>
          <w:szCs w:val="32"/>
        </w:rPr>
        <w:t>二级学院负责人：</w:t>
      </w:r>
      <w:r>
        <w:rPr>
          <w:rFonts w:hint="eastAsia" w:ascii="黑体" w:hAnsi="黑体" w:eastAsia="黑体"/>
          <w:b/>
          <w:bCs/>
          <w:sz w:val="32"/>
          <w:szCs w:val="32"/>
          <w:lang w:eastAsia="zh-CN"/>
        </w:rPr>
        <w:t>王晓勤</w:t>
      </w:r>
    </w:p>
    <w:p>
      <w:pPr>
        <w:ind w:firstLine="2570" w:firstLineChars="800"/>
        <w:jc w:val="left"/>
        <w:rPr>
          <w:rFonts w:ascii="黑体" w:hAnsi="黑体" w:eastAsia="黑体"/>
          <w:b/>
          <w:bCs/>
          <w:sz w:val="32"/>
          <w:szCs w:val="32"/>
        </w:rPr>
      </w:pPr>
      <w:r>
        <w:rPr>
          <w:rFonts w:hint="eastAsia" w:ascii="黑体" w:hAnsi="黑体" w:eastAsia="黑体"/>
          <w:b/>
          <w:bCs/>
          <w:sz w:val="32"/>
          <w:szCs w:val="32"/>
        </w:rPr>
        <w:t>学术委员会主任</w:t>
      </w:r>
      <w:r>
        <w:rPr>
          <w:rFonts w:hint="eastAsia" w:ascii="黑体" w:hAnsi="黑体" w:eastAsia="黑体"/>
          <w:b/>
          <w:bCs/>
          <w:sz w:val="32"/>
          <w:szCs w:val="32"/>
          <w:lang w:eastAsia="zh-CN"/>
        </w:rPr>
        <w:t>：魏晓鹃</w:t>
      </w:r>
    </w:p>
    <w:p>
      <w:pPr>
        <w:ind w:firstLine="2570" w:firstLineChars="800"/>
        <w:jc w:val="left"/>
        <w:rPr>
          <w:rFonts w:hint="default" w:ascii="黑体" w:hAnsi="黑体" w:eastAsia="黑体"/>
          <w:b/>
          <w:bCs/>
          <w:sz w:val="32"/>
          <w:szCs w:val="32"/>
          <w:lang w:val="en-US" w:eastAsia="zh-CN"/>
        </w:rPr>
      </w:pPr>
      <w:r>
        <w:rPr>
          <w:rFonts w:hint="eastAsia" w:ascii="黑体" w:hAnsi="黑体" w:eastAsia="黑体"/>
          <w:b/>
          <w:bCs/>
          <w:sz w:val="32"/>
          <w:szCs w:val="32"/>
        </w:rPr>
        <w:t>编制时间：</w:t>
      </w:r>
      <w:r>
        <w:rPr>
          <w:rFonts w:hint="eastAsia" w:ascii="黑体" w:hAnsi="黑体" w:eastAsia="黑体"/>
          <w:b/>
          <w:bCs/>
          <w:sz w:val="32"/>
          <w:szCs w:val="32"/>
          <w:lang w:val="en-US" w:eastAsia="zh-CN"/>
        </w:rPr>
        <w:t>2022年4月</w:t>
      </w:r>
    </w:p>
    <w:p>
      <w:pPr>
        <w:ind w:firstLine="2570" w:firstLineChars="800"/>
        <w:jc w:val="left"/>
        <w:rPr>
          <w:rFonts w:hint="eastAsia" w:ascii="黑体" w:hAnsi="黑体" w:eastAsia="黑体"/>
          <w:b/>
          <w:bCs/>
          <w:sz w:val="32"/>
          <w:szCs w:val="32"/>
          <w:lang w:eastAsia="zh-CN"/>
        </w:rPr>
      </w:pPr>
      <w:r>
        <w:rPr>
          <w:rFonts w:hint="eastAsia" w:ascii="黑体" w:hAnsi="黑体" w:eastAsia="黑体"/>
          <w:b/>
          <w:bCs/>
          <w:sz w:val="32"/>
          <w:szCs w:val="32"/>
        </w:rPr>
        <w:t>教务处审核：</w:t>
      </w:r>
      <w:r>
        <w:rPr>
          <w:rFonts w:hint="eastAsia" w:ascii="黑体" w:hAnsi="黑体" w:eastAsia="黑体"/>
          <w:b/>
          <w:bCs/>
          <w:sz w:val="32"/>
          <w:szCs w:val="32"/>
          <w:lang w:eastAsia="zh-CN"/>
        </w:rPr>
        <w:t>韩坤</w:t>
      </w:r>
    </w:p>
    <w:p>
      <w:pPr>
        <w:ind w:firstLine="2570" w:firstLineChars="800"/>
        <w:jc w:val="left"/>
        <w:rPr>
          <w:rFonts w:hint="eastAsia" w:ascii="黑体" w:hAnsi="黑体" w:eastAsia="黑体"/>
          <w:b/>
          <w:bCs/>
          <w:sz w:val="32"/>
          <w:szCs w:val="32"/>
          <w:lang w:eastAsia="zh-CN"/>
        </w:rPr>
      </w:pPr>
      <w:r>
        <w:rPr>
          <w:rFonts w:hint="eastAsia" w:ascii="黑体" w:hAnsi="黑体" w:eastAsia="黑体"/>
          <w:b/>
          <w:bCs/>
          <w:sz w:val="32"/>
          <w:szCs w:val="32"/>
        </w:rPr>
        <w:t>主管校长审核：</w:t>
      </w:r>
      <w:r>
        <w:rPr>
          <w:rFonts w:hint="eastAsia" w:ascii="黑体" w:hAnsi="黑体" w:eastAsia="黑体"/>
          <w:b/>
          <w:bCs/>
          <w:sz w:val="32"/>
          <w:szCs w:val="32"/>
          <w:lang w:eastAsia="zh-CN"/>
        </w:rPr>
        <w:t>常成国</w:t>
      </w:r>
    </w:p>
    <w:p>
      <w:pPr>
        <w:ind w:firstLine="2570" w:firstLineChars="800"/>
        <w:jc w:val="left"/>
        <w:rPr>
          <w:rFonts w:hint="default" w:ascii="黑体" w:hAnsi="黑体" w:eastAsia="黑体"/>
          <w:b/>
          <w:bCs/>
          <w:sz w:val="32"/>
          <w:szCs w:val="32"/>
          <w:lang w:val="en-US" w:eastAsia="zh-CN"/>
        </w:rPr>
      </w:pPr>
      <w:r>
        <w:rPr>
          <w:rFonts w:hint="eastAsia" w:ascii="黑体" w:hAnsi="黑体" w:eastAsia="黑体"/>
          <w:b/>
          <w:bCs/>
          <w:sz w:val="32"/>
          <w:szCs w:val="32"/>
        </w:rPr>
        <w:t>审批时间：</w:t>
      </w:r>
      <w:r>
        <w:rPr>
          <w:rFonts w:hint="eastAsia" w:ascii="黑体" w:hAnsi="黑体" w:eastAsia="黑体"/>
          <w:b/>
          <w:bCs/>
          <w:sz w:val="32"/>
          <w:szCs w:val="32"/>
          <w:lang w:val="en-US" w:eastAsia="zh-CN"/>
        </w:rPr>
        <w:t>2022年6月</w:t>
      </w:r>
    </w:p>
    <w:p>
      <w:pPr>
        <w:ind w:firstLine="0" w:firstLineChars="0"/>
        <w:jc w:val="left"/>
        <w:rPr>
          <w:rFonts w:ascii="黑体" w:hAnsi="黑体" w:eastAsia="黑体"/>
          <w:sz w:val="32"/>
          <w:szCs w:val="32"/>
        </w:rPr>
      </w:pPr>
    </w:p>
    <w:p>
      <w:pPr>
        <w:ind w:firstLine="640"/>
        <w:jc w:val="left"/>
        <w:rPr>
          <w:rFonts w:ascii="黑体" w:hAnsi="黑体" w:eastAsia="黑体"/>
          <w:sz w:val="32"/>
          <w:szCs w:val="32"/>
        </w:rPr>
      </w:pPr>
    </w:p>
    <w:p>
      <w:pPr>
        <w:ind w:firstLine="1767" w:firstLineChars="550"/>
        <w:jc w:val="left"/>
        <w:rPr>
          <w:rFonts w:ascii="黑体" w:hAnsi="黑体" w:eastAsia="黑体"/>
          <w:b/>
          <w:bCs/>
          <w:sz w:val="32"/>
          <w:szCs w:val="32"/>
        </w:rPr>
      </w:pPr>
      <w:r>
        <w:rPr>
          <w:rFonts w:hint="eastAsia" w:ascii="黑体" w:hAnsi="黑体" w:eastAsia="黑体"/>
          <w:b/>
          <w:bCs/>
          <w:sz w:val="32"/>
          <w:szCs w:val="32"/>
        </w:rPr>
        <w:t>重庆资源与环境保护职业学院202</w:t>
      </w:r>
      <w:r>
        <w:rPr>
          <w:rFonts w:ascii="黑体" w:hAnsi="黑体" w:eastAsia="黑体"/>
          <w:b/>
          <w:bCs/>
          <w:sz w:val="32"/>
          <w:szCs w:val="32"/>
        </w:rPr>
        <w:t>2</w:t>
      </w:r>
      <w:r>
        <w:rPr>
          <w:rFonts w:hint="eastAsia" w:ascii="黑体" w:hAnsi="黑体" w:eastAsia="黑体"/>
          <w:b/>
          <w:bCs/>
          <w:sz w:val="32"/>
          <w:szCs w:val="32"/>
        </w:rPr>
        <w:t>年编印</w:t>
      </w: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hint="eastAsia" w:ascii="黑体" w:hAnsi="黑体" w:cs="方正小标宋简体"/>
          <w:b/>
          <w:bCs/>
          <w:sz w:val="44"/>
          <w:szCs w:val="44"/>
        </w:rPr>
      </w:pPr>
    </w:p>
    <w:p>
      <w:pPr>
        <w:pStyle w:val="2"/>
        <w:spacing w:line="576" w:lineRule="exact"/>
        <w:ind w:firstLine="883"/>
        <w:jc w:val="center"/>
        <w:rPr>
          <w:rFonts w:ascii="黑体" w:hAnsi="黑体" w:cs="方正小标宋简体"/>
          <w:b/>
          <w:bCs/>
          <w:sz w:val="44"/>
          <w:szCs w:val="44"/>
        </w:rPr>
      </w:pPr>
      <w:r>
        <w:rPr>
          <w:rFonts w:hint="eastAsia" w:ascii="黑体" w:hAnsi="黑体" w:cs="方正小标宋简体"/>
          <w:b/>
          <w:bCs/>
          <w:sz w:val="44"/>
          <w:szCs w:val="44"/>
        </w:rPr>
        <w:t>重庆资源与环境保护职业学院</w:t>
      </w:r>
    </w:p>
    <w:p>
      <w:pPr>
        <w:pStyle w:val="2"/>
        <w:spacing w:line="576" w:lineRule="exact"/>
        <w:ind w:firstLine="883"/>
        <w:jc w:val="center"/>
        <w:rPr>
          <w:rFonts w:ascii="黑体" w:hAnsi="黑体" w:cs="仿宋_GB2312"/>
          <w:b/>
          <w:bCs/>
          <w:szCs w:val="32"/>
        </w:rPr>
      </w:pPr>
      <w:r>
        <w:rPr>
          <w:rFonts w:hint="eastAsia" w:ascii="黑体" w:hAnsi="黑体" w:cs="方正小标宋简体"/>
          <w:b/>
          <w:bCs/>
          <w:sz w:val="44"/>
          <w:szCs w:val="44"/>
        </w:rPr>
        <w:t>20</w:t>
      </w:r>
      <w:r>
        <w:rPr>
          <w:rFonts w:ascii="黑体" w:hAnsi="黑体" w:cs="方正小标宋简体"/>
          <w:b/>
          <w:bCs/>
          <w:sz w:val="44"/>
          <w:szCs w:val="44"/>
        </w:rPr>
        <w:t>22</w:t>
      </w:r>
      <w:r>
        <w:rPr>
          <w:rFonts w:hint="eastAsia" w:ascii="黑体" w:hAnsi="黑体" w:cs="方正小标宋简体"/>
          <w:b/>
          <w:bCs/>
          <w:sz w:val="44"/>
          <w:szCs w:val="44"/>
        </w:rPr>
        <w:t>级</w:t>
      </w:r>
      <w:r>
        <w:rPr>
          <w:rFonts w:hint="eastAsia" w:ascii="黑体" w:hAnsi="黑体" w:cs="方正小标宋简体"/>
          <w:b/>
          <w:bCs/>
          <w:sz w:val="44"/>
          <w:szCs w:val="44"/>
          <w:lang w:eastAsia="zh-CN"/>
        </w:rPr>
        <w:t>金融科技应用</w:t>
      </w:r>
      <w:r>
        <w:rPr>
          <w:rFonts w:hint="eastAsia" w:ascii="黑体" w:hAnsi="黑体" w:cs="方正小标宋简体"/>
          <w:b/>
          <w:bCs/>
          <w:sz w:val="44"/>
          <w:szCs w:val="44"/>
        </w:rPr>
        <w:t>专业人才培养方案</w:t>
      </w:r>
    </w:p>
    <w:p>
      <w:pPr>
        <w:spacing w:line="576" w:lineRule="exact"/>
        <w:ind w:firstLine="643"/>
        <w:jc w:val="left"/>
        <w:rPr>
          <w:rFonts w:ascii="仿宋_GB2312" w:hAnsi="仿宋_GB2312" w:eastAsia="仿宋_GB2312" w:cs="仿宋_GB2312"/>
          <w:b/>
          <w:bCs/>
          <w:sz w:val="32"/>
          <w:szCs w:val="32"/>
        </w:rPr>
      </w:pP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仿宋"/>
          <w:sz w:val="32"/>
          <w:szCs w:val="32"/>
        </w:rPr>
        <w:t>专业名称及代码</w:t>
      </w:r>
    </w:p>
    <w:p>
      <w:pPr>
        <w:ind w:firstLine="560"/>
        <w:rPr>
          <w:rFonts w:hint="eastAsia" w:ascii="仿宋" w:hAnsi="仿宋" w:eastAsia="仿宋"/>
          <w:sz w:val="28"/>
          <w:szCs w:val="28"/>
        </w:rPr>
      </w:pPr>
      <w:r>
        <w:rPr>
          <w:rFonts w:hint="eastAsia" w:ascii="仿宋" w:hAnsi="仿宋" w:eastAsia="仿宋"/>
          <w:sz w:val="28"/>
          <w:szCs w:val="28"/>
        </w:rPr>
        <w:t>专业大类：财经商贸大类</w:t>
      </w:r>
    </w:p>
    <w:p>
      <w:pPr>
        <w:ind w:firstLine="560"/>
        <w:rPr>
          <w:rFonts w:hint="eastAsia" w:ascii="仿宋" w:hAnsi="仿宋" w:eastAsia="仿宋"/>
          <w:sz w:val="28"/>
          <w:szCs w:val="28"/>
        </w:rPr>
      </w:pPr>
      <w:r>
        <w:rPr>
          <w:rFonts w:hint="eastAsia" w:ascii="仿宋" w:hAnsi="仿宋" w:eastAsia="仿宋"/>
          <w:sz w:val="28"/>
          <w:szCs w:val="28"/>
        </w:rPr>
        <w:t>专业类别：金融类</w:t>
      </w:r>
    </w:p>
    <w:p>
      <w:pPr>
        <w:ind w:firstLine="560"/>
        <w:rPr>
          <w:rFonts w:hint="eastAsia" w:ascii="仿宋" w:hAnsi="仿宋" w:eastAsia="仿宋"/>
          <w:sz w:val="28"/>
          <w:szCs w:val="28"/>
        </w:rPr>
      </w:pPr>
      <w:r>
        <w:rPr>
          <w:rFonts w:hint="eastAsia" w:ascii="仿宋" w:hAnsi="仿宋" w:eastAsia="仿宋"/>
          <w:sz w:val="28"/>
          <w:szCs w:val="28"/>
        </w:rPr>
        <w:t>专业名称：金融科技应用</w:t>
      </w:r>
    </w:p>
    <w:p>
      <w:pPr>
        <w:ind w:firstLine="560"/>
        <w:rPr>
          <w:rFonts w:hint="eastAsia" w:ascii="仿宋" w:hAnsi="仿宋" w:eastAsia="仿宋"/>
          <w:sz w:val="28"/>
          <w:szCs w:val="28"/>
        </w:rPr>
      </w:pPr>
      <w:r>
        <w:rPr>
          <w:rFonts w:hint="eastAsia" w:ascii="仿宋" w:hAnsi="仿宋" w:eastAsia="仿宋"/>
          <w:sz w:val="28"/>
          <w:szCs w:val="28"/>
        </w:rPr>
        <w:t>专业代码：530202</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二、入学要求</w:t>
      </w:r>
    </w:p>
    <w:p>
      <w:pPr>
        <w:ind w:firstLine="560"/>
        <w:rPr>
          <w:rFonts w:ascii="仿宋" w:hAnsi="仿宋" w:eastAsia="仿宋"/>
          <w:sz w:val="28"/>
          <w:szCs w:val="28"/>
        </w:rPr>
      </w:pPr>
      <w:r>
        <w:rPr>
          <w:rFonts w:hint="eastAsia" w:ascii="仿宋" w:hAnsi="仿宋" w:eastAsia="仿宋"/>
          <w:sz w:val="28"/>
          <w:szCs w:val="28"/>
        </w:rPr>
        <w:t>高中阶段教育毕业生或具有同等学力者</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三、修业年限</w:t>
      </w:r>
    </w:p>
    <w:p>
      <w:pPr>
        <w:ind w:firstLine="560"/>
        <w:rPr>
          <w:rFonts w:hint="eastAsia" w:ascii="仿宋" w:hAnsi="仿宋" w:eastAsia="仿宋"/>
          <w:sz w:val="28"/>
          <w:szCs w:val="28"/>
        </w:rPr>
      </w:pPr>
      <w:r>
        <w:rPr>
          <w:rFonts w:hint="eastAsia" w:ascii="仿宋" w:hAnsi="仿宋" w:eastAsia="仿宋"/>
          <w:sz w:val="28"/>
          <w:szCs w:val="28"/>
        </w:rPr>
        <w:t>学制三年</w:t>
      </w:r>
    </w:p>
    <w:p>
      <w:pPr>
        <w:numPr>
          <w:ilvl w:val="0"/>
          <w:numId w:val="1"/>
        </w:numPr>
        <w:spacing w:line="576" w:lineRule="exact"/>
        <w:ind w:firstLine="640"/>
        <w:jc w:val="left"/>
        <w:rPr>
          <w:rFonts w:hint="eastAsia" w:ascii="黑体" w:hAnsi="黑体" w:eastAsia="黑体" w:cs="仿宋_GB2312"/>
          <w:sz w:val="32"/>
          <w:szCs w:val="32"/>
        </w:rPr>
      </w:pPr>
      <w:r>
        <w:rPr>
          <w:rFonts w:hint="eastAsia" w:ascii="黑体" w:hAnsi="黑体" w:eastAsia="黑体" w:cs="仿宋_GB2312"/>
          <w:sz w:val="32"/>
          <w:szCs w:val="32"/>
        </w:rPr>
        <w:t>职业面向</w:t>
      </w:r>
    </w:p>
    <w:tbl>
      <w:tblPr>
        <w:tblStyle w:val="13"/>
        <w:tblW w:w="920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450"/>
        <w:gridCol w:w="1653"/>
        <w:gridCol w:w="1680"/>
        <w:gridCol w:w="137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所属专业大类（代码）</w:t>
            </w:r>
          </w:p>
        </w:tc>
        <w:tc>
          <w:tcPr>
            <w:tcW w:w="1450"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所属专业类</w:t>
            </w:r>
          </w:p>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（代码）</w:t>
            </w:r>
          </w:p>
        </w:tc>
        <w:tc>
          <w:tcPr>
            <w:tcW w:w="1653"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对应行业</w:t>
            </w:r>
          </w:p>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（代码）</w:t>
            </w:r>
          </w:p>
        </w:tc>
        <w:tc>
          <w:tcPr>
            <w:tcW w:w="1680"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职业类别</w:t>
            </w:r>
          </w:p>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（代码）</w:t>
            </w:r>
          </w:p>
        </w:tc>
        <w:tc>
          <w:tcPr>
            <w:tcW w:w="1378"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主要岗位群或技术领域</w:t>
            </w:r>
          </w:p>
        </w:tc>
        <w:tc>
          <w:tcPr>
            <w:tcW w:w="1673" w:type="dxa"/>
            <w:vAlign w:val="center"/>
          </w:tcPr>
          <w:p>
            <w:pPr>
              <w:snapToGrid w:val="0"/>
              <w:spacing w:after="156" w:afterLines="50" w:line="240" w:lineRule="auto"/>
              <w:ind w:firstLine="0" w:firstLineChars="0"/>
              <w:jc w:val="center"/>
              <w:outlineLvl w:val="0"/>
              <w:rPr>
                <w:rFonts w:ascii="仿宋" w:hAnsi="仿宋" w:eastAsia="仿宋" w:cs="仿宋"/>
                <w:b/>
                <w:bCs/>
                <w:sz w:val="21"/>
                <w:szCs w:val="21"/>
              </w:rPr>
            </w:pPr>
            <w:r>
              <w:rPr>
                <w:rFonts w:hint="eastAsia" w:ascii="仿宋" w:hAnsi="仿宋" w:eastAsia="仿宋" w:cs="仿宋"/>
                <w:b/>
                <w:bCs/>
                <w:sz w:val="21"/>
                <w:szCs w:val="21"/>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370" w:type="dxa"/>
            <w:vAlign w:val="center"/>
          </w:tcPr>
          <w:p>
            <w:pPr>
              <w:snapToGrid w:val="0"/>
              <w:spacing w:after="156" w:afterLines="50" w:line="240" w:lineRule="auto"/>
              <w:ind w:firstLine="0" w:firstLineChars="0"/>
              <w:jc w:val="center"/>
              <w:outlineLvl w:val="0"/>
              <w:rPr>
                <w:rFonts w:hint="eastAsia" w:ascii="黑体" w:hAnsi="黑体" w:eastAsia="黑体"/>
                <w:bCs/>
                <w:kern w:val="28"/>
                <w:sz w:val="18"/>
                <w:szCs w:val="18"/>
              </w:rPr>
            </w:pPr>
            <w:r>
              <w:rPr>
                <w:rFonts w:hint="eastAsia" w:ascii="黑体" w:hAnsi="黑体" w:eastAsia="黑体"/>
                <w:bCs/>
                <w:kern w:val="28"/>
                <w:sz w:val="18"/>
                <w:szCs w:val="18"/>
              </w:rPr>
              <w:t>财经商贸大类（53）</w:t>
            </w:r>
          </w:p>
        </w:tc>
        <w:tc>
          <w:tcPr>
            <w:tcW w:w="1450" w:type="dxa"/>
            <w:vAlign w:val="center"/>
          </w:tcPr>
          <w:p>
            <w:pPr>
              <w:snapToGrid w:val="0"/>
              <w:spacing w:after="156" w:afterLines="50" w:line="240" w:lineRule="auto"/>
              <w:ind w:firstLine="0" w:firstLineChars="0"/>
              <w:jc w:val="center"/>
              <w:outlineLvl w:val="0"/>
              <w:rPr>
                <w:rFonts w:hint="eastAsia" w:ascii="黑体" w:hAnsi="黑体" w:eastAsia="黑体"/>
                <w:bCs/>
                <w:kern w:val="28"/>
                <w:sz w:val="18"/>
                <w:szCs w:val="18"/>
              </w:rPr>
            </w:pPr>
            <w:r>
              <w:rPr>
                <w:rFonts w:hint="eastAsia" w:ascii="黑体" w:hAnsi="黑体" w:eastAsia="黑体"/>
                <w:bCs/>
                <w:kern w:val="28"/>
                <w:sz w:val="18"/>
                <w:szCs w:val="18"/>
              </w:rPr>
              <w:t>金融类（5302）</w:t>
            </w:r>
          </w:p>
        </w:tc>
        <w:tc>
          <w:tcPr>
            <w:tcW w:w="1653" w:type="dxa"/>
            <w:vAlign w:val="center"/>
          </w:tcPr>
          <w:p>
            <w:pPr>
              <w:pStyle w:val="8"/>
              <w:spacing w:line="240" w:lineRule="atLeast"/>
              <w:ind w:firstLine="0" w:firstLineChars="0"/>
              <w:jc w:val="both"/>
              <w:rPr>
                <w:rFonts w:ascii="黑体" w:hAnsi="黑体"/>
                <w:sz w:val="18"/>
                <w:szCs w:val="18"/>
              </w:rPr>
            </w:pPr>
            <w:r>
              <w:rPr>
                <w:rFonts w:hint="eastAsia" w:ascii="黑体" w:hAnsi="黑体"/>
                <w:sz w:val="18"/>
                <w:szCs w:val="18"/>
              </w:rPr>
              <w:t>货币金融服务（66）</w:t>
            </w:r>
          </w:p>
          <w:p>
            <w:pPr>
              <w:pStyle w:val="8"/>
              <w:spacing w:line="240" w:lineRule="atLeast"/>
              <w:ind w:firstLine="0" w:firstLineChars="0"/>
              <w:jc w:val="both"/>
              <w:rPr>
                <w:rFonts w:ascii="黑体" w:hAnsi="黑体"/>
                <w:sz w:val="18"/>
                <w:szCs w:val="18"/>
              </w:rPr>
            </w:pPr>
            <w:r>
              <w:rPr>
                <w:rFonts w:hint="eastAsia" w:ascii="黑体" w:hAnsi="黑体"/>
                <w:sz w:val="18"/>
                <w:szCs w:val="18"/>
              </w:rPr>
              <w:t>资本市场服务（67）</w:t>
            </w:r>
          </w:p>
          <w:p>
            <w:pPr>
              <w:pStyle w:val="8"/>
              <w:spacing w:line="240" w:lineRule="atLeast"/>
              <w:ind w:firstLine="0" w:firstLineChars="0"/>
              <w:jc w:val="both"/>
              <w:rPr>
                <w:rFonts w:ascii="黑体" w:hAnsi="黑体"/>
                <w:sz w:val="18"/>
                <w:szCs w:val="18"/>
              </w:rPr>
            </w:pPr>
            <w:r>
              <w:rPr>
                <w:rFonts w:hint="eastAsia" w:ascii="黑体" w:hAnsi="黑体"/>
                <w:sz w:val="18"/>
                <w:szCs w:val="18"/>
              </w:rPr>
              <w:t>保险业（68）</w:t>
            </w:r>
          </w:p>
          <w:p>
            <w:pPr>
              <w:pStyle w:val="8"/>
              <w:spacing w:line="240" w:lineRule="atLeast"/>
              <w:ind w:firstLine="0" w:firstLineChars="0"/>
              <w:jc w:val="both"/>
              <w:rPr>
                <w:rFonts w:ascii="黑体" w:hAnsi="黑体"/>
                <w:sz w:val="18"/>
                <w:szCs w:val="18"/>
              </w:rPr>
            </w:pPr>
            <w:r>
              <w:rPr>
                <w:rFonts w:hint="eastAsia" w:ascii="黑体" w:hAnsi="黑体"/>
                <w:sz w:val="18"/>
                <w:szCs w:val="18"/>
              </w:rPr>
              <w:t>其他金融业（69）</w:t>
            </w:r>
          </w:p>
          <w:p>
            <w:pPr>
              <w:spacing w:line="240" w:lineRule="atLeast"/>
              <w:ind w:firstLine="0" w:firstLineChars="0"/>
              <w:rPr>
                <w:rFonts w:ascii="黑体" w:hAnsi="黑体" w:eastAsia="黑体"/>
                <w:bCs/>
                <w:kern w:val="28"/>
                <w:sz w:val="18"/>
                <w:szCs w:val="18"/>
              </w:rPr>
            </w:pPr>
            <w:r>
              <w:rPr>
                <w:rFonts w:hint="eastAsia" w:ascii="黑体" w:hAnsi="黑体" w:eastAsia="黑体"/>
                <w:bCs/>
                <w:kern w:val="28"/>
                <w:sz w:val="18"/>
                <w:szCs w:val="18"/>
              </w:rPr>
              <w:t>互联网和相关服务（64）</w:t>
            </w:r>
          </w:p>
          <w:p>
            <w:pPr>
              <w:snapToGrid w:val="0"/>
              <w:spacing w:after="156" w:afterLines="50" w:line="240" w:lineRule="auto"/>
              <w:ind w:firstLine="0" w:firstLineChars="0"/>
              <w:jc w:val="center"/>
              <w:outlineLvl w:val="0"/>
              <w:rPr>
                <w:rFonts w:ascii="仿宋" w:hAnsi="仿宋" w:eastAsia="仿宋" w:cs="仿宋"/>
                <w:b/>
                <w:bCs/>
                <w:sz w:val="24"/>
                <w:szCs w:val="24"/>
              </w:rPr>
            </w:pPr>
            <w:r>
              <w:rPr>
                <w:rFonts w:hint="eastAsia" w:ascii="黑体" w:hAnsi="黑体" w:eastAsia="黑体"/>
                <w:bCs/>
                <w:kern w:val="28"/>
                <w:sz w:val="18"/>
                <w:szCs w:val="18"/>
              </w:rPr>
              <w:t>软件和信息技术服务业（65）</w:t>
            </w:r>
          </w:p>
        </w:tc>
        <w:tc>
          <w:tcPr>
            <w:tcW w:w="1680" w:type="dxa"/>
            <w:vAlign w:val="center"/>
          </w:tcPr>
          <w:p>
            <w:pPr>
              <w:pStyle w:val="8"/>
              <w:spacing w:line="240" w:lineRule="atLeast"/>
              <w:ind w:firstLine="0" w:firstLineChars="0"/>
              <w:jc w:val="both"/>
              <w:rPr>
                <w:rFonts w:ascii="黑体" w:hAnsi="黑体"/>
                <w:sz w:val="18"/>
                <w:szCs w:val="18"/>
              </w:rPr>
            </w:pPr>
            <w:r>
              <w:rPr>
                <w:rFonts w:hint="eastAsia" w:ascii="黑体" w:hAnsi="黑体"/>
                <w:sz w:val="18"/>
                <w:szCs w:val="18"/>
              </w:rPr>
              <w:t>销售人员（4-01-02）</w:t>
            </w:r>
          </w:p>
          <w:p>
            <w:pPr>
              <w:spacing w:line="240" w:lineRule="atLeast"/>
              <w:ind w:firstLine="0" w:firstLineChars="0"/>
              <w:rPr>
                <w:rFonts w:ascii="黑体" w:hAnsi="黑体" w:eastAsia="黑体"/>
                <w:bCs/>
                <w:kern w:val="28"/>
                <w:sz w:val="18"/>
                <w:szCs w:val="18"/>
              </w:rPr>
            </w:pPr>
            <w:r>
              <w:rPr>
                <w:rFonts w:hint="eastAsia" w:ascii="黑体" w:hAnsi="黑体" w:eastAsia="黑体"/>
                <w:bCs/>
                <w:kern w:val="28"/>
                <w:sz w:val="18"/>
                <w:szCs w:val="18"/>
              </w:rPr>
              <w:t>其他金融服务人员（4-05-99）</w:t>
            </w:r>
          </w:p>
          <w:p>
            <w:pPr>
              <w:spacing w:line="240" w:lineRule="atLeast"/>
              <w:ind w:firstLine="0" w:firstLineChars="0"/>
              <w:rPr>
                <w:rFonts w:ascii="黑体" w:hAnsi="黑体" w:eastAsia="黑体"/>
                <w:bCs/>
                <w:kern w:val="28"/>
                <w:sz w:val="18"/>
                <w:szCs w:val="18"/>
              </w:rPr>
            </w:pPr>
            <w:r>
              <w:rPr>
                <w:rFonts w:hint="eastAsia" w:ascii="黑体" w:hAnsi="黑体" w:eastAsia="黑体"/>
                <w:bCs/>
                <w:kern w:val="28"/>
                <w:sz w:val="18"/>
                <w:szCs w:val="18"/>
              </w:rPr>
              <w:t>软件和信息技术服务人员（4-04-05）</w:t>
            </w:r>
          </w:p>
          <w:p>
            <w:pPr>
              <w:spacing w:line="240" w:lineRule="atLeast"/>
              <w:ind w:firstLine="0" w:firstLineChars="0"/>
              <w:rPr>
                <w:rFonts w:ascii="黑体" w:hAnsi="黑体" w:eastAsia="黑体"/>
                <w:bCs/>
                <w:kern w:val="28"/>
                <w:sz w:val="18"/>
                <w:szCs w:val="18"/>
              </w:rPr>
            </w:pPr>
            <w:r>
              <w:rPr>
                <w:rFonts w:hint="eastAsia" w:ascii="黑体" w:hAnsi="黑体" w:eastAsia="黑体"/>
                <w:bCs/>
                <w:kern w:val="28"/>
                <w:sz w:val="18"/>
                <w:szCs w:val="18"/>
              </w:rPr>
              <w:t>银行服务人员</w:t>
            </w:r>
          </w:p>
          <w:p>
            <w:pPr>
              <w:spacing w:line="240" w:lineRule="atLeast"/>
              <w:ind w:firstLine="0" w:firstLineChars="0"/>
              <w:rPr>
                <w:rFonts w:ascii="黑体" w:hAnsi="黑体" w:eastAsia="黑体"/>
                <w:bCs/>
                <w:kern w:val="28"/>
                <w:sz w:val="18"/>
                <w:szCs w:val="18"/>
              </w:rPr>
            </w:pPr>
            <w:r>
              <w:rPr>
                <w:rFonts w:hint="eastAsia" w:ascii="黑体" w:hAnsi="黑体" w:eastAsia="黑体"/>
                <w:bCs/>
                <w:kern w:val="28"/>
                <w:sz w:val="18"/>
                <w:szCs w:val="18"/>
              </w:rPr>
              <w:t>（4-05-01）</w:t>
            </w:r>
          </w:p>
          <w:p>
            <w:pPr>
              <w:snapToGrid w:val="0"/>
              <w:spacing w:after="156" w:afterLines="50" w:line="240" w:lineRule="auto"/>
              <w:ind w:firstLine="0" w:firstLineChars="0"/>
              <w:jc w:val="center"/>
              <w:outlineLvl w:val="0"/>
              <w:rPr>
                <w:rFonts w:ascii="仿宋" w:hAnsi="仿宋" w:eastAsia="仿宋" w:cs="仿宋"/>
                <w:b/>
                <w:bCs/>
                <w:sz w:val="24"/>
                <w:szCs w:val="24"/>
              </w:rPr>
            </w:pPr>
            <w:r>
              <w:rPr>
                <w:rFonts w:hint="eastAsia" w:ascii="黑体" w:hAnsi="黑体" w:eastAsia="黑体"/>
                <w:bCs/>
                <w:kern w:val="28"/>
                <w:sz w:val="18"/>
                <w:szCs w:val="18"/>
              </w:rPr>
              <w:t>其他经济和金融专业人员（2-06-99）</w:t>
            </w:r>
          </w:p>
        </w:tc>
        <w:tc>
          <w:tcPr>
            <w:tcW w:w="1378" w:type="dxa"/>
            <w:vAlign w:val="center"/>
          </w:tcPr>
          <w:p>
            <w:pPr>
              <w:pStyle w:val="8"/>
              <w:spacing w:line="240" w:lineRule="atLeast"/>
              <w:ind w:firstLine="0" w:firstLineChars="0"/>
              <w:jc w:val="both"/>
              <w:rPr>
                <w:rFonts w:hint="eastAsia" w:ascii="黑体" w:hAnsi="黑体"/>
                <w:sz w:val="18"/>
                <w:szCs w:val="18"/>
              </w:rPr>
            </w:pPr>
            <w:r>
              <w:rPr>
                <w:rFonts w:hint="eastAsia" w:ascii="黑体" w:hAnsi="黑体"/>
                <w:sz w:val="18"/>
                <w:szCs w:val="18"/>
              </w:rPr>
              <w:t>1.数字营销</w:t>
            </w:r>
          </w:p>
          <w:p>
            <w:pPr>
              <w:pStyle w:val="8"/>
              <w:spacing w:line="240" w:lineRule="atLeast"/>
              <w:ind w:firstLine="0" w:firstLineChars="0"/>
              <w:jc w:val="both"/>
              <w:rPr>
                <w:rFonts w:hint="eastAsia" w:ascii="黑体" w:hAnsi="黑体"/>
                <w:sz w:val="18"/>
                <w:szCs w:val="18"/>
              </w:rPr>
            </w:pPr>
            <w:r>
              <w:rPr>
                <w:rFonts w:hint="eastAsia" w:ascii="黑体" w:hAnsi="黑体"/>
                <w:sz w:val="18"/>
                <w:szCs w:val="18"/>
              </w:rPr>
              <w:t xml:space="preserve">2.数据分析 </w:t>
            </w:r>
          </w:p>
          <w:p>
            <w:pPr>
              <w:pStyle w:val="8"/>
              <w:spacing w:line="240" w:lineRule="atLeast"/>
              <w:ind w:firstLine="0" w:firstLineChars="0"/>
              <w:jc w:val="both"/>
              <w:rPr>
                <w:rFonts w:hint="eastAsia" w:ascii="黑体" w:hAnsi="黑体"/>
                <w:sz w:val="18"/>
                <w:szCs w:val="18"/>
              </w:rPr>
            </w:pPr>
            <w:r>
              <w:rPr>
                <w:rFonts w:hint="eastAsia" w:ascii="黑体" w:hAnsi="黑体"/>
                <w:sz w:val="18"/>
                <w:szCs w:val="18"/>
              </w:rPr>
              <w:t xml:space="preserve">3.智能客户服务 </w:t>
            </w:r>
          </w:p>
          <w:p>
            <w:pPr>
              <w:pStyle w:val="8"/>
              <w:spacing w:line="240" w:lineRule="atLeast"/>
              <w:ind w:firstLine="0" w:firstLineChars="0"/>
              <w:jc w:val="both"/>
              <w:rPr>
                <w:rFonts w:hint="eastAsia" w:ascii="黑体" w:hAnsi="黑体"/>
                <w:sz w:val="18"/>
                <w:szCs w:val="18"/>
              </w:rPr>
            </w:pPr>
            <w:r>
              <w:rPr>
                <w:rFonts w:hint="eastAsia" w:ascii="黑体" w:hAnsi="黑体"/>
                <w:sz w:val="18"/>
                <w:szCs w:val="18"/>
              </w:rPr>
              <w:t>4.公司金融</w:t>
            </w:r>
          </w:p>
          <w:p>
            <w:pPr>
              <w:pStyle w:val="8"/>
              <w:spacing w:line="240" w:lineRule="atLeast"/>
              <w:ind w:firstLine="0" w:firstLineChars="0"/>
              <w:jc w:val="both"/>
              <w:rPr>
                <w:rFonts w:ascii="仿宋" w:hAnsi="仿宋" w:eastAsia="仿宋" w:cs="仿宋"/>
                <w:b/>
                <w:bCs/>
                <w:sz w:val="24"/>
                <w:szCs w:val="24"/>
              </w:rPr>
            </w:pPr>
            <w:r>
              <w:rPr>
                <w:rFonts w:hint="eastAsia" w:ascii="黑体" w:hAnsi="黑体"/>
                <w:sz w:val="18"/>
                <w:szCs w:val="18"/>
              </w:rPr>
              <w:t>5.金融科技运维</w:t>
            </w:r>
          </w:p>
        </w:tc>
        <w:tc>
          <w:tcPr>
            <w:tcW w:w="1673" w:type="dxa"/>
            <w:vAlign w:val="center"/>
          </w:tcPr>
          <w:p>
            <w:pPr>
              <w:spacing w:line="240" w:lineRule="atLeast"/>
              <w:ind w:firstLine="0" w:firstLineChars="0"/>
              <w:rPr>
                <w:rFonts w:hint="eastAsia" w:ascii="黑体" w:hAnsi="黑体" w:eastAsia="黑体"/>
                <w:bCs/>
                <w:kern w:val="28"/>
                <w:sz w:val="18"/>
                <w:szCs w:val="18"/>
              </w:rPr>
            </w:pPr>
            <w:r>
              <w:rPr>
                <w:rFonts w:hint="eastAsia" w:ascii="黑体" w:hAnsi="黑体" w:eastAsia="黑体"/>
                <w:bCs/>
                <w:kern w:val="28"/>
                <w:sz w:val="18"/>
                <w:szCs w:val="18"/>
              </w:rPr>
              <w:t>职业资格证书举例：银行初级资格证书，证券、期货、基金从业资格证书</w:t>
            </w:r>
          </w:p>
          <w:p>
            <w:pPr>
              <w:spacing w:line="240" w:lineRule="atLeast"/>
              <w:ind w:firstLine="0" w:firstLineChars="0"/>
              <w:rPr>
                <w:rFonts w:hint="eastAsia" w:ascii="黑体" w:hAnsi="黑体" w:eastAsia="黑体"/>
                <w:bCs/>
                <w:kern w:val="28"/>
                <w:sz w:val="18"/>
                <w:szCs w:val="18"/>
              </w:rPr>
            </w:pPr>
          </w:p>
          <w:p>
            <w:pPr>
              <w:spacing w:line="240" w:lineRule="atLeast"/>
              <w:ind w:firstLine="0" w:firstLineChars="0"/>
              <w:rPr>
                <w:rFonts w:hint="eastAsia" w:ascii="黑体" w:hAnsi="黑体" w:eastAsia="黑体"/>
                <w:bCs/>
                <w:kern w:val="28"/>
                <w:sz w:val="18"/>
                <w:szCs w:val="18"/>
              </w:rPr>
            </w:pPr>
            <w:r>
              <w:rPr>
                <w:rFonts w:hint="eastAsia" w:ascii="黑体" w:hAnsi="黑体" w:eastAsia="黑体"/>
                <w:bCs/>
                <w:kern w:val="28"/>
                <w:sz w:val="18"/>
                <w:szCs w:val="18"/>
              </w:rPr>
              <w:t>职业技能等级证书举例：1+X大数据财务分析初级证书</w:t>
            </w:r>
          </w:p>
          <w:p>
            <w:pPr>
              <w:spacing w:line="240" w:lineRule="atLeast"/>
              <w:ind w:firstLine="0" w:firstLineChars="0"/>
              <w:rPr>
                <w:rFonts w:hint="eastAsia" w:ascii="黑体" w:hAnsi="黑体" w:eastAsia="黑体"/>
                <w:bCs/>
                <w:kern w:val="28"/>
                <w:sz w:val="18"/>
                <w:szCs w:val="18"/>
              </w:rPr>
            </w:pPr>
            <w:r>
              <w:rPr>
                <w:rFonts w:hint="eastAsia" w:ascii="黑体" w:hAnsi="黑体" w:eastAsia="黑体"/>
                <w:bCs/>
                <w:kern w:val="28"/>
                <w:sz w:val="18"/>
                <w:szCs w:val="18"/>
              </w:rPr>
              <w:t>1+X金融智能投顾初级证书</w:t>
            </w:r>
          </w:p>
          <w:p>
            <w:pPr>
              <w:spacing w:line="240" w:lineRule="atLeast"/>
              <w:ind w:firstLine="0" w:firstLineChars="0"/>
              <w:rPr>
                <w:rFonts w:ascii="仿宋" w:hAnsi="仿宋" w:eastAsia="仿宋" w:cs="仿宋"/>
                <w:b/>
                <w:bCs/>
                <w:sz w:val="24"/>
                <w:szCs w:val="24"/>
              </w:rPr>
            </w:pPr>
            <w:r>
              <w:rPr>
                <w:rFonts w:hint="eastAsia" w:ascii="黑体" w:hAnsi="黑体" w:eastAsia="黑体"/>
                <w:bCs/>
                <w:kern w:val="28"/>
                <w:sz w:val="18"/>
                <w:szCs w:val="18"/>
              </w:rPr>
              <w:t>1+X金融大数据处理初级证书</w:t>
            </w:r>
          </w:p>
        </w:tc>
      </w:tr>
    </w:tbl>
    <w:p>
      <w:pPr>
        <w:ind w:firstLine="420"/>
        <w:rPr>
          <w:rFonts w:ascii="仿宋" w:hAnsi="仿宋" w:eastAsia="仿宋" w:cs="仿宋"/>
          <w:sz w:val="21"/>
          <w:szCs w:val="21"/>
        </w:rPr>
      </w:pPr>
      <w:r>
        <w:rPr>
          <w:rFonts w:hint="eastAsia" w:ascii="仿宋" w:hAnsi="仿宋" w:eastAsia="仿宋" w:cs="仿宋"/>
          <w:sz w:val="21"/>
          <w:szCs w:val="21"/>
        </w:rPr>
        <w:t>注1：对应行业：参照现行的《国民经济行业分类》。</w:t>
      </w:r>
    </w:p>
    <w:p>
      <w:pPr>
        <w:ind w:firstLine="420"/>
        <w:rPr>
          <w:rFonts w:ascii="仿宋" w:hAnsi="仿宋" w:eastAsia="仿宋" w:cs="仿宋"/>
          <w:sz w:val="21"/>
          <w:szCs w:val="21"/>
        </w:rPr>
      </w:pPr>
      <w:r>
        <w:rPr>
          <w:rFonts w:hint="eastAsia" w:ascii="仿宋" w:hAnsi="仿宋" w:eastAsia="仿宋" w:cs="仿宋"/>
          <w:sz w:val="21"/>
          <w:szCs w:val="21"/>
        </w:rPr>
        <w:t>注2：职业类别：参照现行的《国家职业分类大典》。</w:t>
      </w:r>
    </w:p>
    <w:p>
      <w:pPr>
        <w:ind w:firstLine="420"/>
        <w:rPr>
          <w:rFonts w:ascii="仿宋" w:hAnsi="仿宋" w:eastAsia="仿宋" w:cs="仿宋"/>
          <w:sz w:val="21"/>
          <w:szCs w:val="21"/>
        </w:rPr>
      </w:pPr>
      <w:r>
        <w:rPr>
          <w:rFonts w:hint="eastAsia" w:ascii="仿宋" w:hAnsi="仿宋" w:eastAsia="仿宋" w:cs="仿宋"/>
          <w:sz w:val="21"/>
          <w:szCs w:val="21"/>
        </w:rPr>
        <w:t>注3：职业资格证书或技能等级证书（参考2021年国家职业资格证书目录）：根据实际情况举例职业资格证书或技能等级证书。</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五、培养目标与培养规格</w:t>
      </w:r>
    </w:p>
    <w:p>
      <w:pPr>
        <w:pStyle w:val="8"/>
        <w:ind w:firstLine="640"/>
        <w:rPr>
          <w:rFonts w:ascii="楷体" w:hAnsi="楷体" w:eastAsia="楷体" w:cs="仿宋"/>
          <w:kern w:val="0"/>
          <w:sz w:val="32"/>
        </w:rPr>
      </w:pPr>
      <w:r>
        <w:rPr>
          <w:rFonts w:hint="eastAsia" w:ascii="楷体" w:hAnsi="楷体" w:eastAsia="楷体" w:cs="仿宋"/>
          <w:kern w:val="0"/>
          <w:sz w:val="32"/>
        </w:rPr>
        <w:t>（一）培养目标</w:t>
      </w:r>
    </w:p>
    <w:p>
      <w:pPr>
        <w:ind w:firstLine="560"/>
        <w:rPr>
          <w:rFonts w:hint="eastAsia" w:ascii="仿宋" w:hAnsi="仿宋" w:eastAsia="仿宋"/>
          <w:sz w:val="28"/>
          <w:szCs w:val="28"/>
        </w:rPr>
      </w:pPr>
      <w:r>
        <w:rPr>
          <w:rFonts w:hint="eastAsia" w:ascii="仿宋" w:hAnsi="仿宋" w:eastAsia="仿宋"/>
          <w:sz w:val="28"/>
          <w:szCs w:val="28"/>
        </w:rPr>
        <w:t>本专业培养理想信念坚定、德技并修、全面发展，具有一定的科学文化水平，良好的职业道德、工匠精神和创新精神，具有较强的就业能力、一定的创业能力和支撑终身发展的能力;掌握金融科技应用专业知识和技术技能，面向金融企业、金融科技企业，能够适应行业动态变化的工作要求，能够从事数据分析、财富管理、产品运营、金融科技运维、公司金融、数字营销、智能客户服务等工作的高素质技能专业人才。</w:t>
      </w:r>
    </w:p>
    <w:p>
      <w:pPr>
        <w:pStyle w:val="8"/>
        <w:ind w:firstLine="640"/>
        <w:rPr>
          <w:rFonts w:ascii="楷体" w:hAnsi="楷体" w:eastAsia="楷体" w:cs="仿宋"/>
          <w:color w:val="auto"/>
          <w:kern w:val="0"/>
          <w:sz w:val="32"/>
        </w:rPr>
      </w:pPr>
      <w:r>
        <w:rPr>
          <w:rFonts w:hint="eastAsia" w:ascii="楷体" w:hAnsi="楷体" w:eastAsia="楷体" w:cs="仿宋"/>
          <w:color w:val="auto"/>
          <w:kern w:val="0"/>
          <w:sz w:val="32"/>
        </w:rPr>
        <w:t>（二）培养规格</w:t>
      </w:r>
    </w:p>
    <w:p>
      <w:pPr>
        <w:ind w:firstLine="560"/>
        <w:rPr>
          <w:rFonts w:hint="eastAsia" w:ascii="仿宋" w:hAnsi="仿宋" w:eastAsia="仿宋"/>
          <w:sz w:val="28"/>
          <w:szCs w:val="28"/>
        </w:rPr>
      </w:pPr>
      <w:r>
        <w:rPr>
          <w:rFonts w:hint="eastAsia" w:ascii="仿宋" w:hAnsi="仿宋" w:eastAsia="仿宋"/>
          <w:sz w:val="28"/>
          <w:szCs w:val="28"/>
        </w:rPr>
        <w:t>本专业毕业生应在素质、知识和能力等方面达到以下要求。</w:t>
      </w:r>
    </w:p>
    <w:p>
      <w:pPr>
        <w:ind w:firstLine="560"/>
        <w:rPr>
          <w:rFonts w:hint="eastAsia" w:ascii="仿宋" w:hAnsi="仿宋" w:eastAsia="仿宋"/>
          <w:sz w:val="28"/>
          <w:szCs w:val="28"/>
        </w:rPr>
      </w:pPr>
      <w:r>
        <w:rPr>
          <w:rFonts w:hint="eastAsia" w:ascii="仿宋" w:hAnsi="仿宋" w:eastAsia="仿宋"/>
          <w:sz w:val="28"/>
          <w:szCs w:val="28"/>
        </w:rPr>
        <w:t>1.素质</w:t>
      </w:r>
    </w:p>
    <w:p>
      <w:pPr>
        <w:ind w:firstLine="560"/>
        <w:rPr>
          <w:rFonts w:hint="eastAsia" w:ascii="仿宋" w:hAnsi="仿宋" w:eastAsia="仿宋"/>
          <w:sz w:val="28"/>
          <w:szCs w:val="28"/>
        </w:rPr>
      </w:pPr>
      <w:r>
        <w:rPr>
          <w:rFonts w:hint="eastAsia" w:ascii="仿宋" w:hAnsi="仿宋" w:eastAsia="仿宋"/>
          <w:sz w:val="28"/>
          <w:szCs w:val="28"/>
        </w:rPr>
        <w:t>（1）坚定拥护中国共产党领导和我国社会主义制度，在习近平新时代中国特色社会主义思想指引下，践行社会主义核心价值观，具有深厚的爱国情感和中华民族自豪感；</w:t>
      </w:r>
    </w:p>
    <w:p>
      <w:pPr>
        <w:ind w:firstLine="560"/>
        <w:rPr>
          <w:rFonts w:hint="eastAsia" w:ascii="仿宋" w:hAnsi="仿宋" w:eastAsia="仿宋"/>
          <w:sz w:val="28"/>
          <w:szCs w:val="28"/>
        </w:rPr>
      </w:pPr>
      <w:r>
        <w:rPr>
          <w:rFonts w:hint="eastAsia" w:ascii="仿宋" w:hAnsi="仿宋" w:eastAsia="仿宋"/>
          <w:sz w:val="28"/>
          <w:szCs w:val="28"/>
        </w:rPr>
        <w:t>（2）崇尚宪法、遵法守纪、崇德向善、诚实守信、尊重生命、热爱劳动，履行道德准则和行为规范，具有社会责任感和社会参与意识；</w:t>
      </w:r>
    </w:p>
    <w:p>
      <w:pPr>
        <w:ind w:firstLine="560"/>
        <w:rPr>
          <w:rFonts w:hint="eastAsia" w:ascii="仿宋" w:hAnsi="仿宋" w:eastAsia="仿宋"/>
          <w:sz w:val="28"/>
          <w:szCs w:val="28"/>
        </w:rPr>
      </w:pPr>
      <w:r>
        <w:rPr>
          <w:rFonts w:hint="eastAsia" w:ascii="仿宋" w:hAnsi="仿宋" w:eastAsia="仿宋"/>
          <w:sz w:val="28"/>
          <w:szCs w:val="28"/>
        </w:rPr>
        <w:t>（3）具有质量意识、环保意识、安全意识、信息素养、工匠精神和创新思维；</w:t>
      </w:r>
    </w:p>
    <w:p>
      <w:pPr>
        <w:ind w:firstLine="560"/>
        <w:rPr>
          <w:rFonts w:hint="eastAsia" w:ascii="仿宋" w:hAnsi="仿宋" w:eastAsia="仿宋"/>
          <w:sz w:val="28"/>
          <w:szCs w:val="28"/>
        </w:rPr>
      </w:pPr>
      <w:r>
        <w:rPr>
          <w:rFonts w:hint="eastAsia" w:ascii="仿宋" w:hAnsi="仿宋" w:eastAsia="仿宋"/>
          <w:sz w:val="28"/>
          <w:szCs w:val="28"/>
        </w:rPr>
        <w:t>（4）勇于奋斗、乐观向上，具有自我管理能力、职业生涯规划的意识，有较强的集体意识和团队合作精神；</w:t>
      </w:r>
    </w:p>
    <w:p>
      <w:pPr>
        <w:ind w:firstLine="560"/>
        <w:rPr>
          <w:rFonts w:hint="eastAsia" w:ascii="仿宋" w:hAnsi="仿宋" w:eastAsia="仿宋"/>
          <w:sz w:val="28"/>
          <w:szCs w:val="28"/>
        </w:rPr>
      </w:pPr>
      <w:r>
        <w:rPr>
          <w:rFonts w:hint="eastAsia" w:ascii="仿宋" w:hAnsi="仿宋" w:eastAsia="仿宋"/>
          <w:sz w:val="28"/>
          <w:szCs w:val="28"/>
        </w:rPr>
        <w:t>（5）具有健康的体魄、心理和健全的人格，掌握基本运动知识和一两项运动技能，养成良好的健身与卫生习惯，良好的行为习惯；</w:t>
      </w:r>
    </w:p>
    <w:p>
      <w:pPr>
        <w:ind w:firstLine="560"/>
        <w:rPr>
          <w:rFonts w:hint="eastAsia" w:ascii="仿宋" w:hAnsi="仿宋" w:eastAsia="仿宋"/>
          <w:sz w:val="28"/>
          <w:szCs w:val="28"/>
        </w:rPr>
      </w:pPr>
      <w:r>
        <w:rPr>
          <w:rFonts w:hint="eastAsia" w:ascii="仿宋" w:hAnsi="仿宋" w:eastAsia="仿宋"/>
          <w:sz w:val="28"/>
          <w:szCs w:val="28"/>
        </w:rPr>
        <w:t>（6）具有一定的审美和人文素养，能够形成一两项艺术特长或爱好。</w:t>
      </w:r>
    </w:p>
    <w:p>
      <w:pPr>
        <w:ind w:firstLine="564"/>
        <w:rPr>
          <w:rFonts w:ascii="仿宋" w:hAnsi="仿宋" w:eastAsia="仿宋" w:cs="仿宋"/>
          <w:color w:val="auto"/>
          <w:sz w:val="28"/>
          <w:szCs w:val="28"/>
        </w:rPr>
      </w:pPr>
      <w:r>
        <w:rPr>
          <w:rFonts w:hint="eastAsia" w:ascii="仿宋" w:hAnsi="仿宋" w:eastAsia="仿宋" w:cs="仿宋"/>
          <w:color w:val="auto"/>
          <w:spacing w:val="1"/>
          <w:sz w:val="28"/>
          <w:szCs w:val="28"/>
        </w:rPr>
        <w:t>2</w:t>
      </w:r>
      <w:r>
        <w:rPr>
          <w:rFonts w:ascii="仿宋" w:hAnsi="仿宋" w:eastAsia="仿宋" w:cs="仿宋"/>
          <w:color w:val="auto"/>
          <w:spacing w:val="1"/>
          <w:sz w:val="28"/>
          <w:szCs w:val="28"/>
        </w:rPr>
        <w:t>.</w:t>
      </w:r>
      <w:r>
        <w:rPr>
          <w:rFonts w:hint="eastAsia" w:ascii="仿宋" w:hAnsi="仿宋" w:eastAsia="仿宋" w:cs="仿宋"/>
          <w:color w:val="auto"/>
          <w:spacing w:val="1"/>
          <w:sz w:val="28"/>
          <w:szCs w:val="28"/>
        </w:rPr>
        <w:t>知识</w:t>
      </w:r>
    </w:p>
    <w:p>
      <w:pPr>
        <w:ind w:firstLine="560"/>
        <w:rPr>
          <w:rFonts w:hint="eastAsia" w:ascii="仿宋" w:hAnsi="仿宋" w:eastAsia="仿宋"/>
          <w:sz w:val="28"/>
          <w:szCs w:val="28"/>
        </w:rPr>
      </w:pPr>
      <w:r>
        <w:rPr>
          <w:rFonts w:hint="eastAsia" w:ascii="仿宋" w:hAnsi="仿宋" w:eastAsia="仿宋"/>
          <w:sz w:val="28"/>
          <w:szCs w:val="28"/>
        </w:rPr>
        <w:t>（1）掌握必备的思想政治理论、科学文化基础知识和中华优秀传统文化知识;</w:t>
      </w:r>
    </w:p>
    <w:p>
      <w:pPr>
        <w:ind w:firstLine="560"/>
        <w:rPr>
          <w:rFonts w:hint="eastAsia" w:ascii="仿宋" w:hAnsi="仿宋" w:eastAsia="仿宋"/>
          <w:sz w:val="28"/>
          <w:szCs w:val="28"/>
        </w:rPr>
      </w:pPr>
      <w:r>
        <w:rPr>
          <w:rFonts w:hint="eastAsia" w:ascii="仿宋" w:hAnsi="仿宋" w:eastAsia="仿宋"/>
          <w:sz w:val="28"/>
          <w:szCs w:val="28"/>
        </w:rPr>
        <w:t>（2）熟悉与本专业相关的法律法规以及环境保护、安全消防、支付与安全等相关知识;熟悉经济、会计、现代金融、企业管理等方面的基础知识，熟悉我国金融管理的政策法规、金融风险与监管规则等知识;</w:t>
      </w:r>
    </w:p>
    <w:p>
      <w:pPr>
        <w:ind w:firstLine="560"/>
        <w:rPr>
          <w:rFonts w:hint="eastAsia" w:ascii="仿宋" w:hAnsi="仿宋" w:eastAsia="仿宋"/>
          <w:sz w:val="28"/>
          <w:szCs w:val="28"/>
        </w:rPr>
      </w:pPr>
      <w:r>
        <w:rPr>
          <w:rFonts w:hint="eastAsia" w:ascii="仿宋" w:hAnsi="仿宋" w:eastAsia="仿宋"/>
          <w:sz w:val="28"/>
          <w:szCs w:val="28"/>
        </w:rPr>
        <w:t>（3）掌握现代互联网信息技术及数据分析处理的基本知识和方法;</w:t>
      </w:r>
    </w:p>
    <w:p>
      <w:pPr>
        <w:ind w:firstLine="560"/>
        <w:rPr>
          <w:rFonts w:hint="eastAsia" w:ascii="仿宋" w:hAnsi="仿宋" w:eastAsia="仿宋"/>
          <w:sz w:val="28"/>
          <w:szCs w:val="28"/>
        </w:rPr>
      </w:pPr>
      <w:r>
        <w:rPr>
          <w:rFonts w:hint="eastAsia" w:ascii="仿宋" w:hAnsi="仿宋" w:eastAsia="仿宋"/>
          <w:sz w:val="28"/>
          <w:szCs w:val="28"/>
        </w:rPr>
        <w:t>（4）掌握智能客户服务的知识和方法;</w:t>
      </w:r>
    </w:p>
    <w:p>
      <w:pPr>
        <w:ind w:firstLine="560"/>
        <w:rPr>
          <w:rFonts w:hint="eastAsia" w:ascii="仿宋" w:hAnsi="仿宋" w:eastAsia="仿宋"/>
          <w:sz w:val="28"/>
          <w:szCs w:val="28"/>
        </w:rPr>
      </w:pPr>
      <w:r>
        <w:rPr>
          <w:rFonts w:hint="eastAsia" w:ascii="仿宋" w:hAnsi="仿宋" w:eastAsia="仿宋"/>
          <w:sz w:val="28"/>
          <w:szCs w:val="28"/>
        </w:rPr>
        <w:t>（5）掌握金融风险控制的技术和方法;</w:t>
      </w:r>
    </w:p>
    <w:p>
      <w:pPr>
        <w:ind w:firstLine="560"/>
        <w:rPr>
          <w:rFonts w:hint="eastAsia" w:ascii="仿宋" w:hAnsi="仿宋" w:eastAsia="仿宋"/>
          <w:sz w:val="28"/>
          <w:szCs w:val="28"/>
        </w:rPr>
      </w:pPr>
      <w:r>
        <w:rPr>
          <w:rFonts w:hint="eastAsia" w:ascii="仿宋" w:hAnsi="仿宋" w:eastAsia="仿宋"/>
          <w:sz w:val="28"/>
          <w:szCs w:val="28"/>
        </w:rPr>
        <w:t>（6）掌握新兴营销、数字营销、产品运营的知识和方法;</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熟悉金融科技应用开发、产品设计运营、运维管理的技术与方法;</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熟悉金融科技创新创业的知识和方法，了解金融行业、金融科技行业快速变化的新知识、新技术、新应用。</w:t>
      </w:r>
    </w:p>
    <w:p>
      <w:pPr>
        <w:ind w:firstLine="560"/>
        <w:rPr>
          <w:rFonts w:hint="eastAsia" w:ascii="仿宋" w:hAnsi="仿宋" w:eastAsia="仿宋"/>
          <w:sz w:val="28"/>
          <w:szCs w:val="28"/>
        </w:rPr>
      </w:pPr>
      <w:r>
        <w:rPr>
          <w:rFonts w:hint="eastAsia" w:ascii="仿宋" w:hAnsi="仿宋" w:eastAsia="仿宋"/>
          <w:sz w:val="28"/>
          <w:szCs w:val="28"/>
        </w:rPr>
        <w:t>3.能力</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rPr>
        <w:t>具有探究学习，终身学习、分析问题和解决问题的能力;</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具有良好的语言、文字表达能力和沟能能力;</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能够熟练应用现代信息技术;</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能够对金融科技应用行业进行数据收集、分析及应用；</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能够解析金融风险的主要识别和应对模式及方法；</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能够分析金融科技用户特征，撰写金融科技应用产品需求文档，策划并实施金融科技应用营销方案；</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能够设计并实施金融科技产品运营活动；</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具有商务谈判能力，能够与用户进行有效沟通，开发及维护用户关系；</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能够分析金融科技应用平台战略与规划，开展需求分析、平台设计和项目管理；</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 xml:space="preserve"> 能够熟悉投资与理财基本知识和实务操作技能，为企业和个人提供投资管理、理财服务；</w:t>
      </w:r>
    </w:p>
    <w:p>
      <w:pPr>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rPr>
        <w:t>能够使用最新的法律法规分析判断金融科技应用业务创新与发展的合法合规性。</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六、课程设置及要求</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主要包括公共基础课程和专业课程。</w:t>
      </w:r>
    </w:p>
    <w:p>
      <w:pPr>
        <w:ind w:firstLine="640"/>
        <w:rPr>
          <w:rFonts w:ascii="楷体" w:hAnsi="楷体" w:eastAsia="楷体" w:cs="仿宋"/>
          <w:color w:val="auto"/>
          <w:sz w:val="32"/>
          <w:szCs w:val="32"/>
        </w:rPr>
      </w:pPr>
      <w:r>
        <w:rPr>
          <w:rFonts w:hint="eastAsia" w:ascii="楷体" w:hAnsi="楷体" w:eastAsia="楷体" w:cs="仿宋"/>
          <w:color w:val="auto"/>
          <w:sz w:val="32"/>
          <w:szCs w:val="32"/>
        </w:rPr>
        <w:t>（一）公共必修课程</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根据党和国家有关文件规定，将毛泽东思想和中国特色社会主义理论体系概论、思想道德与法治、形势与政策、大学语文、计算机应用基础、体育、军事技能、创新创业教育、职业规划与就业指导、大学生心理健康与安全教育、高等数学（理科）、经济数学（文科）、劳动教育与实践列为必修课；并将中华优秀传统文化、环境保护与生态文明、公共外语、四史、习近平总书记教育重要论述讲义、习近平新时代中国特色社会主义思想、应用写作、演讲与口才等列为必修课或选修课。</w:t>
      </w:r>
    </w:p>
    <w:tbl>
      <w:tblPr>
        <w:tblStyle w:val="13"/>
        <w:tblW w:w="944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5"/>
        <w:gridCol w:w="1176"/>
        <w:gridCol w:w="645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tblHeader/>
        </w:trPr>
        <w:tc>
          <w:tcPr>
            <w:tcW w:w="855" w:type="dxa"/>
            <w:vAlign w:val="center"/>
          </w:tcPr>
          <w:p>
            <w:pPr>
              <w:pStyle w:val="10"/>
              <w:widowControl/>
              <w:spacing w:beforeAutospacing="0" w:afterAutospacing="0"/>
              <w:ind w:firstLine="0" w:firstLineChars="0"/>
              <w:jc w:val="center"/>
              <w:rPr>
                <w:rFonts w:ascii="仿宋" w:hAnsi="仿宋" w:eastAsia="仿宋" w:cs="仿宋"/>
                <w:b/>
                <w:sz w:val="21"/>
                <w:szCs w:val="21"/>
              </w:rPr>
            </w:pPr>
            <w:r>
              <w:rPr>
                <w:rFonts w:hint="eastAsia" w:ascii="仿宋" w:hAnsi="仿宋" w:eastAsia="仿宋" w:cs="仿宋"/>
                <w:b/>
                <w:sz w:val="21"/>
                <w:szCs w:val="21"/>
              </w:rPr>
              <w:t>序号</w:t>
            </w:r>
          </w:p>
        </w:tc>
        <w:tc>
          <w:tcPr>
            <w:tcW w:w="1176" w:type="dxa"/>
            <w:vAlign w:val="center"/>
          </w:tcPr>
          <w:p>
            <w:pPr>
              <w:pStyle w:val="10"/>
              <w:widowControl/>
              <w:spacing w:beforeAutospacing="0" w:afterAutospacing="0"/>
              <w:ind w:firstLine="0" w:firstLineChars="0"/>
              <w:jc w:val="center"/>
              <w:rPr>
                <w:rFonts w:ascii="仿宋" w:hAnsi="仿宋" w:eastAsia="仿宋" w:cs="仿宋"/>
                <w:b/>
                <w:sz w:val="21"/>
                <w:szCs w:val="21"/>
              </w:rPr>
            </w:pPr>
            <w:r>
              <w:rPr>
                <w:rFonts w:hint="eastAsia" w:ascii="仿宋" w:hAnsi="仿宋" w:eastAsia="仿宋" w:cs="仿宋"/>
                <w:b/>
                <w:sz w:val="21"/>
                <w:szCs w:val="21"/>
              </w:rPr>
              <w:t>课程名称</w:t>
            </w:r>
          </w:p>
        </w:tc>
        <w:tc>
          <w:tcPr>
            <w:tcW w:w="6452" w:type="dxa"/>
            <w:vAlign w:val="center"/>
          </w:tcPr>
          <w:p>
            <w:pPr>
              <w:pStyle w:val="10"/>
              <w:widowControl/>
              <w:spacing w:beforeAutospacing="0" w:afterAutospacing="0"/>
              <w:ind w:firstLine="1897" w:firstLineChars="900"/>
              <w:jc w:val="both"/>
              <w:rPr>
                <w:rFonts w:ascii="仿宋" w:hAnsi="仿宋" w:eastAsia="仿宋" w:cs="仿宋"/>
                <w:b/>
                <w:sz w:val="21"/>
                <w:szCs w:val="21"/>
              </w:rPr>
            </w:pPr>
            <w:r>
              <w:rPr>
                <w:rFonts w:hint="eastAsia" w:ascii="仿宋" w:hAnsi="仿宋" w:eastAsia="仿宋" w:cs="仿宋"/>
                <w:b/>
                <w:sz w:val="21"/>
                <w:szCs w:val="21"/>
              </w:rPr>
              <w:t>课程内容</w:t>
            </w:r>
          </w:p>
        </w:tc>
        <w:tc>
          <w:tcPr>
            <w:tcW w:w="960" w:type="dxa"/>
            <w:vAlign w:val="center"/>
          </w:tcPr>
          <w:p>
            <w:pPr>
              <w:pStyle w:val="10"/>
              <w:widowControl/>
              <w:spacing w:beforeAutospacing="0" w:afterAutospacing="0"/>
              <w:ind w:firstLine="0" w:firstLineChars="0"/>
              <w:jc w:val="center"/>
              <w:rPr>
                <w:rFonts w:ascii="仿宋" w:hAnsi="仿宋" w:eastAsia="仿宋" w:cs="仿宋"/>
                <w:b/>
                <w:sz w:val="21"/>
                <w:szCs w:val="21"/>
              </w:rPr>
            </w:pPr>
            <w:r>
              <w:rPr>
                <w:rFonts w:hint="eastAsia" w:ascii="仿宋" w:hAnsi="仿宋" w:eastAsia="仿宋" w:cs="仿宋"/>
                <w:b/>
                <w:sz w:val="21"/>
                <w:szCs w:val="21"/>
                <w:lang w:val="en-US" w:eastAsia="zh-CN"/>
              </w:rPr>
              <w:t>评定</w:t>
            </w:r>
            <w:r>
              <w:rPr>
                <w:rFonts w:hint="eastAsia" w:ascii="仿宋" w:hAnsi="仿宋" w:eastAsia="仿宋" w:cs="仿宋"/>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1</w:t>
            </w:r>
          </w:p>
        </w:tc>
        <w:tc>
          <w:tcPr>
            <w:tcW w:w="1176"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毛泽东思想和中国特色社会主义理论体系概论</w:t>
            </w:r>
          </w:p>
        </w:tc>
        <w:tc>
          <w:tcPr>
            <w:tcW w:w="6452" w:type="dxa"/>
            <w:vAlign w:val="center"/>
          </w:tcPr>
          <w:p>
            <w:pPr>
              <w:spacing w:line="240" w:lineRule="auto"/>
              <w:ind w:firstLine="400"/>
              <w:rPr>
                <w:rFonts w:ascii="仿宋" w:hAnsi="仿宋" w:eastAsia="仿宋"/>
                <w:sz w:val="21"/>
                <w:szCs w:val="21"/>
              </w:rPr>
            </w:pPr>
            <w:r>
              <w:rPr>
                <w:rFonts w:hint="eastAsia" w:ascii="仿宋" w:hAnsi="仿宋" w:eastAsia="仿宋"/>
                <w:sz w:val="20"/>
              </w:rPr>
              <w:t>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培养学生运用马克思主义基本原理分析和解决实际问题的能力，坚定在党的领导下走中国特色社会主义道路的理想信念，增强投身到我国社会主义现代化建设中的自觉性、主动性和创造性。</w:t>
            </w:r>
          </w:p>
        </w:tc>
        <w:tc>
          <w:tcPr>
            <w:tcW w:w="960" w:type="dxa"/>
            <w:vAlign w:val="center"/>
          </w:tcPr>
          <w:p>
            <w:pPr>
              <w:ind w:firstLine="0" w:firstLineChars="0"/>
              <w:jc w:val="center"/>
              <w:rPr>
                <w:rFonts w:ascii="仿宋" w:hAnsi="仿宋" w:eastAsia="仿宋"/>
                <w:sz w:val="21"/>
                <w:szCs w:val="21"/>
              </w:rPr>
            </w:pPr>
            <w:r>
              <w:rPr>
                <w:rFonts w:ascii="仿宋" w:hAnsi="仿宋" w:eastAsia="仿宋"/>
                <w:sz w:val="21"/>
                <w:szCs w:val="21"/>
              </w:rPr>
              <w:t>闭卷考试+教学成果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2</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思想道德与法治</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本课程有助于学生领悟人生真谛，坚定理想信念，奉行社会主义价值观，做新时代的忠诚爱国者和改革创新的生力军；形成正确的道德认知，积极投身道德实践，做到明大德、守公德、严私德；全面把握社会主义法律的本质、运行和体系，增强法治意识，养成法治思维，做到尊法学法守法用法，从而具备优秀的思想道德素质和法治素养。</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闭卷考试+教学成果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3</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形势与政策</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帮助学生学会认识和把握形势与政策，了解形势是制定政策的依据，政策是影响形势的发展。学生正处于世界观，人生观和价值观形成的关键时期，所以要让学生勤于思考，提高科学思辨能力，避免受到各种思潮的侵蚀，并帮助学生正确分析认识党和国家面临国际国内形势以及现实中存在的问题，增强辨别是非能力，这对提高学生的思想政治素质、坚定其走中国特色社会主义道路信念具有重要意义。</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4</w:t>
            </w:r>
          </w:p>
        </w:tc>
        <w:tc>
          <w:tcPr>
            <w:tcW w:w="1176" w:type="dxa"/>
            <w:vAlign w:val="center"/>
          </w:tcPr>
          <w:p>
            <w:pPr>
              <w:ind w:firstLineChars="100"/>
              <w:rPr>
                <w:rFonts w:ascii="仿宋" w:hAnsi="仿宋" w:eastAsia="仿宋"/>
                <w:sz w:val="20"/>
              </w:rPr>
            </w:pPr>
            <w:r>
              <w:rPr>
                <w:rFonts w:hint="eastAsia" w:ascii="仿宋" w:hAnsi="仿宋" w:eastAsia="仿宋"/>
                <w:sz w:val="20"/>
              </w:rPr>
              <w:t>大学语文</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本课程精选古今代表中华民族精神和中华民族优秀传统文化的经典篇章，以国学经典为主要内容，以提高学生人文素养为目标，让学生思辨传统的力量，领悟文化的意蕴，濡染文学的魅力，激发和培养学生对文化和文学、民族与传统的深度理解，让学生体味语文之美，人文之美，传统之美。</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5</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计算机应用基础</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通过本课程学习，学生掌握计算机基础知识，微型计算机基本使用方法，文字信息处理方法，数据信息处理技术以及一些微机工具基本软件使用方法，为学生学习后续课程和解决与计算机相关的实际问题提供基本知识和解决问题的能力。</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闭卷考试+上机操作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6</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体育</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通过公共体育课程的学习，学生体能，掌握和应用基本的体育与健康知识与技能；培养学生运动兴趣和爱好，形成坚持锻炼的习惯；发扬体育精神，使学生形成积极进取、乐观开朗的生活态度。</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体育项目测试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7</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军事技能</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让学生了解掌握军事基础知识和基本军事技能，增强国防观念、国家安全意识和忧患危机意识，弘扬爱国主义精神、传承红色基因、提高学生综合国防素质。</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军训汇报</w:t>
            </w:r>
            <w:r>
              <w:rPr>
                <w:rFonts w:ascii="仿宋" w:hAnsi="仿宋" w:eastAsia="仿宋"/>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420"/>
              <w:rPr>
                <w:rFonts w:ascii="仿宋" w:hAnsi="仿宋" w:eastAsia="仿宋"/>
                <w:sz w:val="21"/>
                <w:szCs w:val="21"/>
              </w:rPr>
            </w:pPr>
            <w:r>
              <w:rPr>
                <w:rFonts w:hint="eastAsia" w:ascii="仿宋" w:hAnsi="仿宋" w:eastAsia="仿宋"/>
                <w:sz w:val="21"/>
                <w:szCs w:val="21"/>
              </w:rPr>
              <w:t>8</w:t>
            </w:r>
          </w:p>
        </w:tc>
        <w:tc>
          <w:tcPr>
            <w:tcW w:w="1176" w:type="dxa"/>
            <w:vAlign w:val="center"/>
          </w:tcPr>
          <w:p>
            <w:pPr>
              <w:ind w:firstLine="0" w:firstLineChars="0"/>
              <w:jc w:val="center"/>
              <w:rPr>
                <w:rFonts w:ascii="仿宋" w:hAnsi="仿宋" w:eastAsia="仿宋" w:cs="仿宋"/>
                <w:bCs/>
                <w:color w:val="000000"/>
                <w:sz w:val="18"/>
                <w:szCs w:val="18"/>
              </w:rPr>
            </w:pPr>
            <w:r>
              <w:rPr>
                <w:rFonts w:hint="eastAsia" w:ascii="仿宋" w:hAnsi="仿宋" w:eastAsia="仿宋" w:cs="仿宋"/>
                <w:bCs/>
                <w:color w:val="000000"/>
                <w:sz w:val="18"/>
                <w:szCs w:val="18"/>
              </w:rPr>
              <w:t>军事理论</w:t>
            </w:r>
          </w:p>
        </w:tc>
        <w:tc>
          <w:tcPr>
            <w:tcW w:w="6452" w:type="dxa"/>
            <w:vAlign w:val="center"/>
          </w:tcPr>
          <w:p>
            <w:pPr>
              <w:spacing w:line="240" w:lineRule="auto"/>
              <w:ind w:firstLine="400"/>
              <w:rPr>
                <w:rFonts w:ascii="仿宋" w:hAnsi="仿宋" w:eastAsia="仿宋"/>
                <w:sz w:val="20"/>
              </w:rPr>
            </w:pPr>
            <w:r>
              <w:rPr>
                <w:rFonts w:ascii="仿宋" w:hAnsi="仿宋" w:eastAsia="仿宋"/>
                <w:sz w:val="20"/>
              </w:rPr>
              <w:t>军事理论课以国防教育为主线,通过理论教学,使大学生掌握基本军事理论知识,达到增强国防观念和国家安全意识,强化爱国主义、集体主义观念,加强组织纪律性,促进大学生综合素质的提高,为中国人民解放军训练后备兵员和培养预备役军官打下坚实的基础。</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理论测试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420"/>
              <w:rPr>
                <w:rFonts w:ascii="仿宋" w:hAnsi="仿宋" w:eastAsia="仿宋"/>
                <w:sz w:val="21"/>
                <w:szCs w:val="21"/>
              </w:rPr>
            </w:pPr>
            <w:r>
              <w:rPr>
                <w:rFonts w:ascii="仿宋" w:hAnsi="仿宋" w:eastAsia="仿宋"/>
                <w:sz w:val="21"/>
                <w:szCs w:val="21"/>
              </w:rPr>
              <w:t>9</w:t>
            </w:r>
          </w:p>
        </w:tc>
        <w:tc>
          <w:tcPr>
            <w:tcW w:w="1176" w:type="dxa"/>
            <w:vAlign w:val="center"/>
          </w:tcPr>
          <w:p>
            <w:pPr>
              <w:ind w:firstLine="0" w:firstLineChars="0"/>
              <w:jc w:val="center"/>
              <w:rPr>
                <w:rFonts w:ascii="仿宋" w:hAnsi="仿宋" w:eastAsia="仿宋" w:cs="仿宋"/>
                <w:bCs/>
                <w:color w:val="000000"/>
                <w:sz w:val="18"/>
                <w:szCs w:val="18"/>
              </w:rPr>
            </w:pPr>
            <w:r>
              <w:rPr>
                <w:rFonts w:hint="eastAsia" w:ascii="仿宋" w:hAnsi="仿宋" w:eastAsia="仿宋" w:cs="仿宋"/>
                <w:bCs/>
                <w:color w:val="000000"/>
                <w:sz w:val="18"/>
                <w:szCs w:val="18"/>
              </w:rPr>
              <w:t>创业基础</w:t>
            </w:r>
          </w:p>
          <w:p>
            <w:pPr>
              <w:ind w:firstLine="0" w:firstLineChars="0"/>
              <w:jc w:val="center"/>
              <w:rPr>
                <w:rFonts w:ascii="仿宋" w:hAnsi="仿宋" w:eastAsia="仿宋"/>
                <w:sz w:val="20"/>
              </w:rPr>
            </w:pPr>
            <w:r>
              <w:rPr>
                <w:rFonts w:hint="eastAsia" w:ascii="仿宋" w:hAnsi="仿宋" w:eastAsia="仿宋" w:cs="仿宋"/>
                <w:bCs/>
                <w:color w:val="000000"/>
                <w:sz w:val="18"/>
                <w:szCs w:val="18"/>
              </w:rPr>
              <w:t>（创新创业教育）</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启迪学生在“互联网+”背景下的创新创业思维，促进大学生主动参与创业学习，帮助大学生掌握基本的创业技能，积极投身创业实践，引领学生参与大学生创新创业实践；挖掘、探寻适合大学生的创业机会和项目，有助于引导大学生树立科学的创业观，在实践中提升大学生创新创业的理性判断能力和实践动手能力。</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409" w:firstLineChars="195"/>
              <w:rPr>
                <w:rFonts w:ascii="仿宋" w:hAnsi="仿宋" w:eastAsia="仿宋"/>
                <w:sz w:val="21"/>
                <w:szCs w:val="21"/>
              </w:rPr>
            </w:pPr>
            <w:r>
              <w:rPr>
                <w:rFonts w:ascii="仿宋" w:hAnsi="仿宋" w:eastAsia="仿宋"/>
                <w:sz w:val="21"/>
                <w:szCs w:val="21"/>
              </w:rPr>
              <w:t>10</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职业生涯规划与就业指导</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在帮助大学生了解自身的特点和优势，帮助其正确了解生涯规划的理念，提高其对生涯规划意义的认识，掌握正确的职业生涯规划方法，从而积极地进行自己的职业生涯探索和规划。</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大学生心理健康与安全教育</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通过心理健康知识的学习与相关活动的体验，使学生能够关注自我及他人的心理健康，树立起维护心理健康的意识，同时掌握一定的心理调节技能，能从容地应对生活。培养学生的社会安全责任感，使学生逐步形成安全意识，掌握必要的安全行为的知识和技能，养成在日常生活和突发安全事件中正确应对的习惯，最大限度地预防安全事故发生和减少安全事件对学生造成的伤害，保障高职学生健康成长。</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实用英语</w:t>
            </w:r>
          </w:p>
        </w:tc>
        <w:tc>
          <w:tcPr>
            <w:tcW w:w="6452" w:type="dxa"/>
            <w:vAlign w:val="center"/>
          </w:tcPr>
          <w:p>
            <w:pPr>
              <w:spacing w:line="276" w:lineRule="auto"/>
              <w:ind w:firstLine="400"/>
              <w:rPr>
                <w:rFonts w:ascii="仿宋" w:hAnsi="仿宋" w:eastAsia="仿宋"/>
                <w:sz w:val="20"/>
              </w:rPr>
            </w:pPr>
            <w:r>
              <w:rPr>
                <w:rFonts w:hint="eastAsia" w:ascii="仿宋" w:hAnsi="仿宋" w:eastAsia="仿宋"/>
                <w:sz w:val="20"/>
              </w:rPr>
              <w:t>帮助学生打好语言基础，更要注重培养学生实际应用语言的技能，特别是口头表达能力。根据《中国英语能力等级量表》中语言能力1-4级的要求，将课程目标定为：</w:t>
            </w:r>
          </w:p>
          <w:p>
            <w:pPr>
              <w:spacing w:line="276" w:lineRule="auto"/>
              <w:ind w:firstLine="400"/>
              <w:rPr>
                <w:rFonts w:ascii="仿宋" w:hAnsi="仿宋" w:eastAsia="仿宋"/>
                <w:sz w:val="20"/>
              </w:rPr>
            </w:pPr>
            <w:r>
              <w:rPr>
                <w:rFonts w:hint="eastAsia" w:ascii="仿宋" w:hAnsi="仿宋" w:eastAsia="仿宋"/>
                <w:sz w:val="20"/>
              </w:rPr>
              <w:t>1.知识目标：语音：能正确拼读英语全部48个音标，掌握元音、辅音发音规则和语调知识，了解连读、音变、停顿等语流知识。</w:t>
            </w:r>
          </w:p>
          <w:p>
            <w:pPr>
              <w:spacing w:line="276" w:lineRule="auto"/>
              <w:ind w:firstLine="400"/>
              <w:rPr>
                <w:rFonts w:ascii="仿宋" w:hAnsi="仿宋" w:eastAsia="仿宋"/>
                <w:sz w:val="20"/>
              </w:rPr>
            </w:pPr>
            <w:r>
              <w:rPr>
                <w:rFonts w:hint="eastAsia" w:ascii="仿宋" w:hAnsi="仿宋" w:eastAsia="仿宋"/>
                <w:sz w:val="20"/>
              </w:rPr>
              <w:t>词汇、短语和句型：熟记与日常和一般事务交际相关的基本词汇、短语和句型。</w:t>
            </w:r>
          </w:p>
          <w:p>
            <w:pPr>
              <w:spacing w:line="276" w:lineRule="auto"/>
              <w:ind w:firstLine="400"/>
              <w:rPr>
                <w:rFonts w:ascii="仿宋" w:hAnsi="仿宋" w:eastAsia="仿宋"/>
                <w:sz w:val="20"/>
              </w:rPr>
            </w:pPr>
            <w:r>
              <w:rPr>
                <w:rFonts w:hint="eastAsia" w:ascii="仿宋" w:hAnsi="仿宋" w:eastAsia="仿宋"/>
                <w:sz w:val="20"/>
              </w:rPr>
              <w:t>2.能力目标：听力：能听懂基本日常生活用语和与一般事务相关的简单对话。</w:t>
            </w:r>
          </w:p>
          <w:p>
            <w:pPr>
              <w:spacing w:line="276" w:lineRule="auto"/>
              <w:ind w:firstLine="400"/>
              <w:rPr>
                <w:rFonts w:ascii="仿宋" w:hAnsi="仿宋" w:eastAsia="仿宋"/>
                <w:sz w:val="20"/>
              </w:rPr>
            </w:pPr>
            <w:r>
              <w:rPr>
                <w:rFonts w:hint="eastAsia" w:ascii="仿宋" w:hAnsi="仿宋" w:eastAsia="仿宋"/>
                <w:sz w:val="20"/>
              </w:rPr>
              <w:t>口语：能正确拼读任一英语单词；能借助字典基本流利地朗读较为简单的英语短文；能就简单的日常话题和一般事务话题进行比较有效的交际。</w:t>
            </w:r>
          </w:p>
          <w:p>
            <w:pPr>
              <w:spacing w:line="240" w:lineRule="auto"/>
              <w:ind w:firstLine="400"/>
              <w:rPr>
                <w:rFonts w:ascii="仿宋" w:hAnsi="仿宋" w:eastAsia="仿宋"/>
                <w:sz w:val="20"/>
              </w:rPr>
            </w:pPr>
            <w:r>
              <w:rPr>
                <w:rFonts w:hint="eastAsia" w:ascii="仿宋" w:hAnsi="仿宋" w:eastAsia="仿宋"/>
                <w:sz w:val="20"/>
              </w:rPr>
              <w:t>3.素质目标：了解英美国家的基本概况、风土人情，提高学生综合文化素养；掌握有效的学习方法和学习策略，增强自主学习能力，提高学习效率；具备良好的团队协作和竞争意识，提升就业竞争力，为未来可持续发展打下良好的基础。通过中西文化比较，培养学生的国际视野，增强学生对中国传统文化的自豪感和自信心。</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3</w:t>
            </w:r>
          </w:p>
        </w:tc>
        <w:tc>
          <w:tcPr>
            <w:tcW w:w="1176" w:type="dxa"/>
            <w:vAlign w:val="center"/>
          </w:tcPr>
          <w:p>
            <w:pPr>
              <w:ind w:firstLine="0" w:firstLineChars="0"/>
              <w:jc w:val="center"/>
              <w:rPr>
                <w:rFonts w:ascii="仿宋" w:hAnsi="仿宋" w:eastAsia="仿宋"/>
                <w:sz w:val="20"/>
              </w:rPr>
            </w:pPr>
            <w:bookmarkStart w:id="0" w:name="_Hlk98776068"/>
            <w:r>
              <w:rPr>
                <w:rFonts w:hint="eastAsia" w:ascii="仿宋" w:hAnsi="仿宋" w:eastAsia="仿宋"/>
                <w:sz w:val="20"/>
              </w:rPr>
              <w:t>劳动教育与实践</w:t>
            </w:r>
            <w:bookmarkEnd w:id="0"/>
          </w:p>
        </w:tc>
        <w:tc>
          <w:tcPr>
            <w:tcW w:w="6452" w:type="dxa"/>
            <w:vAlign w:val="center"/>
          </w:tcPr>
          <w:p>
            <w:pPr>
              <w:widowControl/>
              <w:shd w:val="clear" w:color="auto" w:fill="FEFEFF"/>
              <w:spacing w:line="240" w:lineRule="auto"/>
              <w:ind w:firstLine="400"/>
              <w:jc w:val="left"/>
              <w:rPr>
                <w:rFonts w:hint="eastAsia" w:ascii="仿宋" w:hAnsi="仿宋" w:eastAsia="仿宋"/>
                <w:sz w:val="20"/>
              </w:rPr>
            </w:pPr>
            <w:r>
              <w:rPr>
                <w:rFonts w:hint="eastAsia" w:ascii="仿宋" w:hAnsi="仿宋" w:eastAsia="仿宋"/>
                <w:sz w:val="20"/>
              </w:rPr>
              <w:t>专业劳动教育实践是一门重要的专业必修课，通过理论学习和专业劳动实践，旨在帮助学生建立正确的劳动观，真正懂得劳动创造价值、劳动关乎幸福人生的道理。</w:t>
            </w:r>
          </w:p>
          <w:p>
            <w:pPr>
              <w:widowControl/>
              <w:shd w:val="clear" w:color="auto" w:fill="FEFEFF"/>
              <w:spacing w:line="240" w:lineRule="auto"/>
              <w:ind w:firstLine="400"/>
              <w:jc w:val="left"/>
              <w:rPr>
                <w:rFonts w:ascii="仿宋" w:hAnsi="仿宋" w:eastAsia="仿宋"/>
                <w:sz w:val="20"/>
              </w:rPr>
            </w:pPr>
            <w:r>
              <w:rPr>
                <w:rFonts w:hint="eastAsia" w:ascii="仿宋" w:hAnsi="仿宋" w:eastAsia="仿宋"/>
                <w:sz w:val="20"/>
              </w:rPr>
              <w:t>1</w:t>
            </w:r>
            <w:r>
              <w:rPr>
                <w:rFonts w:hint="eastAsia" w:ascii="仿宋" w:hAnsi="仿宋" w:eastAsia="仿宋"/>
                <w:sz w:val="20"/>
                <w:lang w:eastAsia="zh-CN"/>
              </w:rPr>
              <w:t>.</w:t>
            </w:r>
            <w:r>
              <w:rPr>
                <w:rFonts w:hint="eastAsia" w:ascii="仿宋" w:hAnsi="仿宋" w:eastAsia="仿宋"/>
                <w:sz w:val="20"/>
              </w:rPr>
              <w:t>通过对劳动理论的学习，系统掌握劳动内涵、劳动关系、劳动法规、劳动安全生等劳动科学基础知识，引导学生树立正确的劳动观，充分认识新时代培养社会主义建设者和接班人对加强劳动教育的新要求，提升大学生的劳动精神面貌、劳动价值取向，塑造崇尚劳动、热爱劳动的美德。</w:t>
            </w:r>
          </w:p>
          <w:p>
            <w:pPr>
              <w:widowControl/>
              <w:shd w:val="clear" w:color="auto" w:fill="FEFEFF"/>
              <w:spacing w:line="240" w:lineRule="auto"/>
              <w:ind w:firstLine="332" w:firstLineChars="166"/>
              <w:jc w:val="left"/>
              <w:rPr>
                <w:rFonts w:ascii="仿宋" w:hAnsi="仿宋" w:eastAsia="仿宋"/>
                <w:sz w:val="20"/>
              </w:rPr>
            </w:pPr>
            <w:r>
              <w:rPr>
                <w:rFonts w:hint="eastAsia" w:ascii="仿宋" w:hAnsi="仿宋" w:eastAsia="仿宋"/>
                <w:sz w:val="20"/>
              </w:rPr>
              <w:t>2</w:t>
            </w:r>
            <w:r>
              <w:rPr>
                <w:rFonts w:hint="eastAsia" w:ascii="仿宋" w:hAnsi="仿宋" w:eastAsia="仿宋"/>
                <w:sz w:val="20"/>
                <w:lang w:eastAsia="zh-CN"/>
              </w:rPr>
              <w:t>.</w:t>
            </w:r>
            <w:r>
              <w:rPr>
                <w:rFonts w:hint="eastAsia" w:ascii="仿宋" w:hAnsi="仿宋" w:eastAsia="仿宋"/>
                <w:sz w:val="20"/>
              </w:rPr>
              <w:t>通过劳动实践，让学生进一步加深对所学知识的理解，让学生在实践中掌握一定劳动技能，提高动手能力，通过出力流汗，接受锻炼、磨练意志，感受劳动带来的收获乐趣，形成尊重劳动、热爱劳动、珍惜劳动成果的真挚情感。</w:t>
            </w:r>
          </w:p>
          <w:p>
            <w:pPr>
              <w:widowControl/>
              <w:shd w:val="clear" w:color="auto" w:fill="FEFEFF"/>
              <w:spacing w:line="240" w:lineRule="auto"/>
              <w:ind w:firstLine="332" w:firstLineChars="166"/>
              <w:jc w:val="left"/>
              <w:rPr>
                <w:rFonts w:ascii="仿宋" w:hAnsi="仿宋" w:eastAsia="仿宋"/>
                <w:sz w:val="20"/>
              </w:rPr>
            </w:pPr>
            <w:r>
              <w:rPr>
                <w:rFonts w:hint="eastAsia" w:ascii="仿宋" w:hAnsi="仿宋" w:eastAsia="仿宋"/>
                <w:sz w:val="20"/>
              </w:rPr>
              <w:t>3</w:t>
            </w:r>
            <w:r>
              <w:rPr>
                <w:rFonts w:hint="eastAsia" w:ascii="仿宋" w:hAnsi="仿宋" w:eastAsia="仿宋"/>
                <w:sz w:val="20"/>
                <w:lang w:eastAsia="zh-CN"/>
              </w:rPr>
              <w:t>.</w:t>
            </w:r>
            <w:r>
              <w:rPr>
                <w:rFonts w:hint="eastAsia" w:ascii="仿宋" w:hAnsi="仿宋" w:eastAsia="仿宋"/>
                <w:sz w:val="20"/>
              </w:rPr>
              <w:t>通过专业内容与劳动教育有机融合的实践活动，提倡自学拓展，结合实际问题进行思考和展开讨论，并在此基础上，学会分析案例，解决实际问题，切实提高创造性劳动的能力。</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过程考核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4</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高等数学</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知识教学目标（极限与连续、一元函数微分学、一元函数积分学、专业应用方面的基础知识、数学建模的初步知识、数学软件知识）；能力培养目标（逻辑推理能力、基本运算能力、自学能力、数学建模的初步能力、数学软件运用能力，应用数学知识解决实际问题的能力）；素质培养目标（树立辩证唯物主义世界观、培养学生良好的学习习惯、坚强的意志品格、严谨思维、求实的作风、勇于探索、敢于创新的思想意识和良好的团队合作精神。）</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5" w:type="dxa"/>
            <w:vAlign w:val="center"/>
          </w:tcPr>
          <w:p>
            <w:pPr>
              <w:ind w:firstLine="0" w:firstLineChars="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5</w:t>
            </w:r>
          </w:p>
        </w:tc>
        <w:tc>
          <w:tcPr>
            <w:tcW w:w="1176" w:type="dxa"/>
            <w:vAlign w:val="center"/>
          </w:tcPr>
          <w:p>
            <w:pPr>
              <w:ind w:firstLine="0" w:firstLineChars="0"/>
              <w:jc w:val="center"/>
              <w:rPr>
                <w:rFonts w:ascii="仿宋" w:hAnsi="仿宋" w:eastAsia="仿宋"/>
                <w:sz w:val="20"/>
              </w:rPr>
            </w:pPr>
            <w:r>
              <w:rPr>
                <w:rFonts w:hint="eastAsia" w:ascii="仿宋" w:hAnsi="仿宋" w:eastAsia="仿宋"/>
                <w:sz w:val="20"/>
              </w:rPr>
              <w:t>经济数学</w:t>
            </w:r>
          </w:p>
        </w:tc>
        <w:tc>
          <w:tcPr>
            <w:tcW w:w="6452" w:type="dxa"/>
            <w:vAlign w:val="center"/>
          </w:tcPr>
          <w:p>
            <w:pPr>
              <w:spacing w:line="240" w:lineRule="auto"/>
              <w:ind w:firstLine="400"/>
              <w:rPr>
                <w:rFonts w:ascii="仿宋" w:hAnsi="仿宋" w:eastAsia="仿宋"/>
                <w:sz w:val="20"/>
              </w:rPr>
            </w:pPr>
            <w:r>
              <w:rPr>
                <w:rFonts w:hint="eastAsia" w:ascii="仿宋" w:hAnsi="仿宋" w:eastAsia="仿宋"/>
                <w:sz w:val="20"/>
              </w:rPr>
              <w:t>通过本课程的学习，旨在使学生掌握微积分的基本概念、基本理论和基本运算技能，为学习后继课程和进-一步获得数学知识奠定必要的数学基础。而且通过各个教学环节逐步培养学生的抽象思维能力、逻辑推理能力、空间想象能力和自学能力，还要特别注意培养学生的熟练运算能力和综合运用所学知识去分析解决实际问题的能力。(对应学校开设此门课程各专业培养要求中所需的相关数学知识能力)</w:t>
            </w:r>
          </w:p>
        </w:tc>
        <w:tc>
          <w:tcPr>
            <w:tcW w:w="960" w:type="dxa"/>
            <w:vAlign w:val="center"/>
          </w:tcPr>
          <w:p>
            <w:pPr>
              <w:ind w:firstLine="0" w:firstLineChars="0"/>
              <w:jc w:val="center"/>
              <w:rPr>
                <w:rFonts w:ascii="仿宋" w:hAnsi="仿宋" w:eastAsia="仿宋"/>
                <w:sz w:val="20"/>
              </w:rPr>
            </w:pPr>
            <w:r>
              <w:rPr>
                <w:rFonts w:hint="eastAsia" w:ascii="仿宋" w:hAnsi="仿宋" w:eastAsia="仿宋"/>
                <w:sz w:val="20"/>
              </w:rPr>
              <w:t>闭卷考试</w:t>
            </w:r>
          </w:p>
        </w:tc>
      </w:tr>
    </w:tbl>
    <w:p>
      <w:pPr>
        <w:ind w:firstLine="640"/>
        <w:rPr>
          <w:rFonts w:hint="eastAsia" w:ascii="仿宋" w:hAnsi="仿宋" w:eastAsia="仿宋" w:cs="仿宋"/>
          <w:color w:val="auto"/>
          <w:sz w:val="28"/>
          <w:szCs w:val="28"/>
          <w:highlight w:val="none"/>
        </w:rPr>
      </w:pPr>
      <w:r>
        <w:rPr>
          <w:rFonts w:hint="eastAsia" w:ascii="楷体" w:hAnsi="楷体" w:eastAsia="楷体" w:cs="仿宋"/>
          <w:sz w:val="32"/>
          <w:szCs w:val="32"/>
        </w:rPr>
        <w:t>（二）专业课程</w:t>
      </w:r>
    </w:p>
    <w:p>
      <w:pPr>
        <w:overflowPunct w:val="0"/>
        <w:adjustRightInd w:val="0"/>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sz w:val="28"/>
          <w:szCs w:val="28"/>
        </w:rPr>
        <w:t>以课程思政为核心，构建了专业+核心+拓展+素质的课程体系，课程内容实现了岗课赛证的高素质技能型人才的培养。要以立德树人为根本任务，把思想政治教育工作贯穿全过程，形成专业课程体系：包括专业基础课程、专业核心课程、专业拓展课程，并涵盖有关实践性教学环节。</w:t>
      </w:r>
    </w:p>
    <w:p>
      <w:pPr>
        <w:overflowPunct w:val="0"/>
        <w:adjustRightInd w:val="0"/>
        <w:spacing w:line="60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（1）专业基础课程</w:t>
      </w:r>
    </w:p>
    <w:p>
      <w:pPr>
        <w:overflowPunct w:val="0"/>
        <w:adjustRightInd w:val="0"/>
        <w:spacing w:line="600" w:lineRule="exact"/>
        <w:ind w:firstLine="600"/>
        <w:rPr>
          <w:rFonts w:hint="eastAsia" w:ascii="仿宋" w:hAnsi="仿宋" w:eastAsia="仿宋" w:cs="仿宋"/>
          <w:sz w:val="28"/>
          <w:szCs w:val="28"/>
          <w:lang w:eastAsia="zh-CN"/>
        </w:rPr>
      </w:pPr>
      <w:r>
        <w:rPr>
          <w:rFonts w:hint="eastAsia" w:ascii="仿宋" w:hAnsi="仿宋" w:eastAsia="仿宋" w:cs="仿宋"/>
          <w:sz w:val="28"/>
          <w:szCs w:val="28"/>
        </w:rPr>
        <w:t>根据专业典型工作任务共有的基础能力，归纳专业基础知识与专业基础技能，根据行动导向的教学理念，以专业技能为主线，理论够用，重在实践，穿插专业基础理论知识，构建</w:t>
      </w:r>
      <w:r>
        <w:rPr>
          <w:rFonts w:hint="eastAsia" w:ascii="仿宋" w:hAnsi="仿宋" w:eastAsia="仿宋" w:cs="仿宋"/>
          <w:sz w:val="28"/>
          <w:szCs w:val="28"/>
          <w:highlight w:val="none"/>
        </w:rPr>
        <w:t>以下</w:t>
      </w:r>
      <w:r>
        <w:rPr>
          <w:rFonts w:hint="eastAsia" w:ascii="仿宋" w:hAnsi="仿宋" w:eastAsia="仿宋" w:cs="仿宋"/>
          <w:sz w:val="28"/>
          <w:szCs w:val="28"/>
          <w:highlight w:val="none"/>
          <w:lang w:val="en-US" w:eastAsia="zh-CN"/>
        </w:rPr>
        <w:t>7门</w:t>
      </w:r>
      <w:r>
        <w:rPr>
          <w:rFonts w:hint="eastAsia" w:ascii="仿宋" w:hAnsi="仿宋" w:eastAsia="仿宋" w:cs="仿宋"/>
          <w:sz w:val="28"/>
          <w:szCs w:val="28"/>
        </w:rPr>
        <w:t>专业基础课程：经济学</w:t>
      </w:r>
      <w:r>
        <w:rPr>
          <w:rFonts w:hint="eastAsia" w:ascii="仿宋" w:hAnsi="仿宋" w:eastAsia="仿宋" w:cs="仿宋"/>
          <w:sz w:val="28"/>
          <w:szCs w:val="28"/>
          <w:lang w:eastAsia="zh-CN"/>
        </w:rPr>
        <w:t>基础、</w:t>
      </w:r>
      <w:r>
        <w:rPr>
          <w:rFonts w:hint="eastAsia" w:ascii="仿宋" w:hAnsi="仿宋" w:eastAsia="仿宋" w:cs="仿宋"/>
          <w:sz w:val="28"/>
          <w:szCs w:val="28"/>
        </w:rPr>
        <w:t>金融基础</w:t>
      </w:r>
      <w:r>
        <w:rPr>
          <w:rFonts w:hint="eastAsia" w:ascii="仿宋" w:hAnsi="仿宋" w:eastAsia="仿宋" w:cs="仿宋"/>
          <w:sz w:val="28"/>
          <w:szCs w:val="28"/>
          <w:lang w:eastAsia="zh-CN"/>
        </w:rPr>
        <w:t>、</w:t>
      </w:r>
      <w:r>
        <w:rPr>
          <w:rFonts w:hint="eastAsia" w:ascii="仿宋" w:hAnsi="仿宋" w:eastAsia="仿宋" w:cs="仿宋"/>
          <w:sz w:val="28"/>
          <w:szCs w:val="28"/>
        </w:rPr>
        <w:t>金融科技概论</w:t>
      </w:r>
      <w:r>
        <w:rPr>
          <w:rFonts w:hint="eastAsia" w:ascii="仿宋" w:hAnsi="仿宋" w:eastAsia="仿宋" w:cs="仿宋"/>
          <w:sz w:val="28"/>
          <w:szCs w:val="28"/>
          <w:lang w:eastAsia="zh-CN"/>
        </w:rPr>
        <w:t>、</w:t>
      </w:r>
      <w:r>
        <w:rPr>
          <w:rFonts w:hint="eastAsia" w:ascii="仿宋" w:hAnsi="仿宋" w:eastAsia="仿宋" w:cs="仿宋"/>
          <w:sz w:val="28"/>
          <w:szCs w:val="28"/>
        </w:rPr>
        <w:t>经济法</w:t>
      </w:r>
      <w:r>
        <w:rPr>
          <w:rFonts w:hint="eastAsia" w:ascii="仿宋" w:hAnsi="仿宋" w:eastAsia="仿宋" w:cs="仿宋"/>
          <w:sz w:val="28"/>
          <w:szCs w:val="28"/>
          <w:lang w:eastAsia="zh-CN"/>
        </w:rPr>
        <w:t>、</w:t>
      </w:r>
      <w:r>
        <w:rPr>
          <w:rFonts w:hint="eastAsia" w:ascii="仿宋" w:hAnsi="仿宋" w:eastAsia="仿宋" w:cs="仿宋"/>
          <w:sz w:val="28"/>
          <w:szCs w:val="28"/>
        </w:rPr>
        <w:t>会计基础</w:t>
      </w:r>
      <w:r>
        <w:rPr>
          <w:rFonts w:hint="eastAsia" w:ascii="仿宋" w:hAnsi="仿宋" w:eastAsia="仿宋" w:cs="仿宋"/>
          <w:sz w:val="28"/>
          <w:szCs w:val="28"/>
          <w:lang w:eastAsia="zh-CN"/>
        </w:rPr>
        <w:t>、</w:t>
      </w:r>
      <w:r>
        <w:rPr>
          <w:rFonts w:hint="eastAsia" w:ascii="仿宋" w:hAnsi="仿宋" w:eastAsia="仿宋" w:cs="仿宋"/>
          <w:sz w:val="28"/>
          <w:szCs w:val="28"/>
        </w:rPr>
        <w:t>金融基本技能</w:t>
      </w:r>
      <w:r>
        <w:rPr>
          <w:rFonts w:hint="eastAsia" w:ascii="仿宋" w:hAnsi="仿宋" w:eastAsia="仿宋" w:cs="仿宋"/>
          <w:sz w:val="28"/>
          <w:szCs w:val="28"/>
          <w:lang w:eastAsia="zh-CN"/>
        </w:rPr>
        <w:t>、公司金融。</w:t>
      </w:r>
    </w:p>
    <w:p>
      <w:pPr>
        <w:overflowPunct w:val="0"/>
        <w:adjustRightInd w:val="0"/>
        <w:spacing w:line="60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（2）专业</w:t>
      </w:r>
      <w:r>
        <w:rPr>
          <w:rFonts w:hint="eastAsia" w:ascii="仿宋" w:hAnsi="仿宋" w:eastAsia="仿宋" w:cs="仿宋"/>
          <w:color w:val="auto"/>
          <w:sz w:val="28"/>
          <w:szCs w:val="28"/>
          <w:highlight w:val="none"/>
          <w:lang w:val="en-US" w:eastAsia="zh-CN"/>
        </w:rPr>
        <w:t>核心</w:t>
      </w:r>
      <w:r>
        <w:rPr>
          <w:rFonts w:hint="eastAsia" w:ascii="仿宋" w:hAnsi="仿宋" w:eastAsia="仿宋" w:cs="仿宋"/>
          <w:color w:val="auto"/>
          <w:sz w:val="28"/>
          <w:szCs w:val="28"/>
          <w:highlight w:val="none"/>
        </w:rPr>
        <w:t>课程</w:t>
      </w:r>
    </w:p>
    <w:p>
      <w:pPr>
        <w:overflowPunct w:val="0"/>
        <w:adjustRightInd w:val="0"/>
        <w:spacing w:line="600" w:lineRule="exact"/>
        <w:ind w:firstLine="560"/>
        <w:rPr>
          <w:rFonts w:hint="eastAsia" w:ascii="UIRVFD+FangSong_GB2312" w:hAnsi="UIRVFD+FangSong_GB2312" w:eastAsia="华文仿宋" w:cs="UIRVFD+FangSong_GB2312"/>
          <w:color w:val="auto"/>
          <w:szCs w:val="22"/>
          <w:highlight w:val="none"/>
          <w:lang w:eastAsia="zh-CN"/>
        </w:rPr>
      </w:pPr>
      <w:r>
        <w:rPr>
          <w:rFonts w:hint="eastAsia" w:ascii="仿宋" w:hAnsi="仿宋" w:eastAsia="仿宋" w:cs="仿宋"/>
          <w:sz w:val="28"/>
          <w:szCs w:val="28"/>
        </w:rPr>
        <w:t>根据金融类专</w:t>
      </w:r>
      <w:r>
        <w:rPr>
          <w:rFonts w:hint="eastAsia" w:ascii="仿宋" w:hAnsi="仿宋" w:eastAsia="仿宋" w:cs="仿宋"/>
          <w:sz w:val="28"/>
          <w:szCs w:val="28"/>
          <w:highlight w:val="none"/>
        </w:rPr>
        <w:t>业职业能力，按照岗位进行分类，构建与职业技能相对应的</w:t>
      </w:r>
      <w:r>
        <w:rPr>
          <w:rFonts w:hint="eastAsia" w:ascii="仿宋" w:hAnsi="仿宋" w:eastAsia="仿宋" w:cs="仿宋"/>
          <w:sz w:val="28"/>
          <w:szCs w:val="28"/>
          <w:highlight w:val="none"/>
          <w:lang w:val="en-US" w:eastAsia="zh-CN"/>
        </w:rPr>
        <w:t>8门</w:t>
      </w:r>
      <w:r>
        <w:rPr>
          <w:rFonts w:hint="eastAsia" w:ascii="仿宋" w:hAnsi="仿宋" w:eastAsia="仿宋" w:cs="仿宋"/>
          <w:sz w:val="28"/>
          <w:szCs w:val="28"/>
          <w:highlight w:val="none"/>
        </w:rPr>
        <w:t>核心课程：金融</w:t>
      </w:r>
      <w:r>
        <w:rPr>
          <w:rFonts w:hint="eastAsia" w:ascii="仿宋" w:hAnsi="仿宋" w:eastAsia="仿宋" w:cs="仿宋"/>
          <w:sz w:val="28"/>
          <w:szCs w:val="28"/>
        </w:rPr>
        <w:t>营销</w:t>
      </w:r>
      <w:r>
        <w:rPr>
          <w:rFonts w:hint="eastAsia" w:ascii="仿宋" w:hAnsi="仿宋" w:eastAsia="仿宋" w:cs="仿宋"/>
          <w:sz w:val="28"/>
          <w:szCs w:val="28"/>
          <w:lang w:eastAsia="zh-CN"/>
        </w:rPr>
        <w:t>、智能</w:t>
      </w:r>
      <w:r>
        <w:rPr>
          <w:rFonts w:hint="eastAsia" w:ascii="仿宋" w:hAnsi="仿宋" w:eastAsia="仿宋" w:cs="仿宋"/>
          <w:sz w:val="28"/>
          <w:szCs w:val="28"/>
        </w:rPr>
        <w:t>证券投资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电子商务、</w:t>
      </w:r>
      <w:r>
        <w:rPr>
          <w:rFonts w:hint="eastAsia" w:ascii="仿宋" w:hAnsi="仿宋" w:eastAsia="仿宋" w:cs="仿宋"/>
          <w:sz w:val="28"/>
          <w:szCs w:val="28"/>
        </w:rPr>
        <w:t>商业银行经营与管理</w:t>
      </w:r>
      <w:r>
        <w:rPr>
          <w:rFonts w:hint="eastAsia" w:ascii="仿宋" w:hAnsi="仿宋" w:eastAsia="仿宋" w:cs="仿宋"/>
          <w:sz w:val="28"/>
          <w:szCs w:val="28"/>
          <w:lang w:eastAsia="zh-CN"/>
        </w:rPr>
        <w:t>、</w:t>
      </w:r>
      <w:r>
        <w:rPr>
          <w:rFonts w:hint="eastAsia" w:ascii="仿宋" w:hAnsi="仿宋" w:eastAsia="仿宋" w:cs="仿宋"/>
          <w:sz w:val="28"/>
          <w:szCs w:val="28"/>
        </w:rPr>
        <w:t>个人理财</w:t>
      </w:r>
      <w:r>
        <w:rPr>
          <w:rFonts w:hint="eastAsia" w:ascii="仿宋" w:hAnsi="仿宋" w:eastAsia="仿宋" w:cs="仿宋"/>
          <w:sz w:val="28"/>
          <w:szCs w:val="28"/>
          <w:lang w:eastAsia="zh-CN"/>
        </w:rPr>
        <w:t>、</w:t>
      </w:r>
      <w:r>
        <w:rPr>
          <w:rFonts w:hint="eastAsia" w:ascii="仿宋" w:hAnsi="仿宋" w:eastAsia="仿宋" w:cs="仿宋"/>
          <w:sz w:val="28"/>
          <w:szCs w:val="28"/>
        </w:rPr>
        <w:t>小额信贷实务</w:t>
      </w:r>
      <w:r>
        <w:rPr>
          <w:rFonts w:hint="eastAsia" w:ascii="仿宋" w:hAnsi="仿宋" w:eastAsia="仿宋" w:cs="仿宋"/>
          <w:sz w:val="28"/>
          <w:szCs w:val="28"/>
          <w:lang w:eastAsia="zh-CN"/>
        </w:rPr>
        <w:t>、</w:t>
      </w:r>
      <w:r>
        <w:rPr>
          <w:rFonts w:hint="eastAsia" w:ascii="仿宋" w:hAnsi="仿宋" w:eastAsia="仿宋" w:cs="仿宋"/>
          <w:sz w:val="28"/>
          <w:szCs w:val="28"/>
        </w:rPr>
        <w:t>金融信托与租赁</w:t>
      </w:r>
      <w:r>
        <w:rPr>
          <w:rFonts w:hint="eastAsia" w:ascii="仿宋" w:hAnsi="仿宋" w:eastAsia="仿宋" w:cs="仿宋"/>
          <w:sz w:val="28"/>
          <w:szCs w:val="28"/>
          <w:lang w:eastAsia="zh-CN"/>
        </w:rPr>
        <w:t>、金融大数据分析。</w:t>
      </w:r>
    </w:p>
    <w:p>
      <w:pPr>
        <w:overflowPunct w:val="0"/>
        <w:adjustRightInd w:val="0"/>
        <w:spacing w:line="60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（3）专业拓展课程</w:t>
      </w:r>
    </w:p>
    <w:p>
      <w:pPr>
        <w:overflowPunct w:val="0"/>
        <w:adjustRightInd w:val="0"/>
        <w:spacing w:line="600" w:lineRule="exact"/>
        <w:ind w:firstLine="600"/>
        <w:rPr>
          <w:rFonts w:hint="eastAsia" w:ascii="仿宋" w:hAnsi="仿宋" w:eastAsia="仿宋" w:cs="仿宋"/>
          <w:sz w:val="28"/>
          <w:szCs w:val="28"/>
          <w:lang w:eastAsia="zh-CN"/>
        </w:rPr>
      </w:pPr>
      <w:r>
        <w:rPr>
          <w:rFonts w:hint="eastAsia" w:ascii="仿宋" w:hAnsi="仿宋" w:eastAsia="仿宋" w:cs="仿宋"/>
          <w:sz w:val="28"/>
          <w:szCs w:val="28"/>
        </w:rPr>
        <w:t>为专业能力纵向晋升发展提供课程支持，开设保险原理与实务</w:t>
      </w:r>
      <w:r>
        <w:rPr>
          <w:rFonts w:hint="eastAsia" w:ascii="仿宋" w:hAnsi="仿宋" w:eastAsia="仿宋" w:cs="仿宋"/>
          <w:sz w:val="28"/>
          <w:szCs w:val="28"/>
          <w:lang w:eastAsia="zh-CN"/>
        </w:rPr>
        <w:t>、</w:t>
      </w:r>
      <w:r>
        <w:rPr>
          <w:rFonts w:hint="eastAsia" w:ascii="仿宋" w:hAnsi="仿宋" w:eastAsia="仿宋" w:cs="仿宋"/>
          <w:sz w:val="28"/>
          <w:szCs w:val="28"/>
        </w:rPr>
        <w:t>证券市场基本法律法规</w:t>
      </w:r>
      <w:r>
        <w:rPr>
          <w:rFonts w:hint="eastAsia" w:ascii="仿宋" w:hAnsi="仿宋" w:eastAsia="仿宋" w:cs="仿宋"/>
          <w:sz w:val="28"/>
          <w:szCs w:val="28"/>
          <w:lang w:eastAsia="zh-CN"/>
        </w:rPr>
        <w:t>、</w:t>
      </w:r>
      <w:r>
        <w:rPr>
          <w:rFonts w:hint="eastAsia" w:ascii="仿宋" w:hAnsi="仿宋" w:eastAsia="仿宋" w:cs="仿宋"/>
          <w:sz w:val="28"/>
          <w:szCs w:val="28"/>
        </w:rPr>
        <w:t>大数据与征信</w:t>
      </w:r>
      <w:r>
        <w:rPr>
          <w:rFonts w:hint="eastAsia" w:ascii="仿宋" w:hAnsi="仿宋" w:eastAsia="仿宋" w:cs="仿宋"/>
          <w:sz w:val="28"/>
          <w:szCs w:val="28"/>
          <w:lang w:eastAsia="zh-CN"/>
        </w:rPr>
        <w:t>、</w:t>
      </w:r>
      <w:r>
        <w:rPr>
          <w:rFonts w:hint="eastAsia" w:ascii="仿宋" w:hAnsi="仿宋" w:eastAsia="仿宋" w:cs="仿宋"/>
          <w:sz w:val="28"/>
          <w:szCs w:val="28"/>
        </w:rPr>
        <w:t>金融衍生品</w:t>
      </w:r>
      <w:r>
        <w:rPr>
          <w:rFonts w:hint="eastAsia" w:ascii="仿宋" w:hAnsi="仿宋" w:eastAsia="仿宋" w:cs="仿宋"/>
          <w:sz w:val="28"/>
          <w:szCs w:val="28"/>
          <w:lang w:eastAsia="zh-CN"/>
        </w:rPr>
        <w:t>、</w:t>
      </w:r>
      <w:r>
        <w:rPr>
          <w:rFonts w:hint="eastAsia" w:ascii="仿宋" w:hAnsi="仿宋" w:eastAsia="仿宋" w:cs="仿宋"/>
          <w:sz w:val="28"/>
          <w:szCs w:val="28"/>
        </w:rPr>
        <w:t>区块链金融</w:t>
      </w:r>
      <w:r>
        <w:rPr>
          <w:rFonts w:hint="eastAsia" w:ascii="仿宋" w:hAnsi="仿宋" w:eastAsia="仿宋" w:cs="仿宋"/>
          <w:sz w:val="28"/>
          <w:szCs w:val="28"/>
          <w:lang w:eastAsia="zh-CN"/>
        </w:rPr>
        <w:t>、</w:t>
      </w:r>
      <w:r>
        <w:rPr>
          <w:rFonts w:hint="eastAsia" w:ascii="仿宋" w:hAnsi="仿宋" w:eastAsia="仿宋" w:cs="仿宋"/>
          <w:sz w:val="28"/>
          <w:szCs w:val="28"/>
        </w:rPr>
        <w:t>企业内部控制</w:t>
      </w:r>
      <w:r>
        <w:rPr>
          <w:rFonts w:hint="eastAsia" w:ascii="仿宋" w:hAnsi="仿宋" w:eastAsia="仿宋" w:cs="仿宋"/>
          <w:sz w:val="28"/>
          <w:szCs w:val="28"/>
          <w:lang w:eastAsia="zh-CN"/>
        </w:rPr>
        <w:t>、</w:t>
      </w:r>
      <w:r>
        <w:rPr>
          <w:rFonts w:hint="eastAsia" w:ascii="仿宋" w:hAnsi="仿宋" w:eastAsia="仿宋" w:cs="仿宋"/>
          <w:sz w:val="28"/>
          <w:szCs w:val="28"/>
        </w:rPr>
        <w:t>金融风险管理</w:t>
      </w:r>
      <w:r>
        <w:rPr>
          <w:rFonts w:hint="eastAsia" w:ascii="仿宋" w:hAnsi="仿宋" w:eastAsia="仿宋" w:cs="仿宋"/>
          <w:sz w:val="28"/>
          <w:szCs w:val="28"/>
          <w:lang w:eastAsia="zh-CN"/>
        </w:rPr>
        <w:t>、</w:t>
      </w:r>
      <w:r>
        <w:rPr>
          <w:rFonts w:hint="eastAsia" w:ascii="仿宋" w:hAnsi="仿宋" w:eastAsia="仿宋" w:cs="仿宋"/>
          <w:sz w:val="28"/>
          <w:szCs w:val="28"/>
        </w:rPr>
        <w:t>管理学原理</w:t>
      </w:r>
      <w:r>
        <w:rPr>
          <w:rFonts w:hint="eastAsia" w:ascii="仿宋" w:hAnsi="仿宋" w:eastAsia="仿宋" w:cs="仿宋"/>
          <w:sz w:val="28"/>
          <w:szCs w:val="28"/>
          <w:lang w:eastAsia="zh-CN"/>
        </w:rPr>
        <w:t>、</w:t>
      </w:r>
      <w:r>
        <w:rPr>
          <w:rFonts w:hint="eastAsia" w:ascii="仿宋" w:hAnsi="仿宋" w:eastAsia="仿宋" w:cs="仿宋"/>
          <w:sz w:val="28"/>
          <w:szCs w:val="28"/>
        </w:rPr>
        <w:t>金融品牌策划与推广</w:t>
      </w:r>
      <w:r>
        <w:rPr>
          <w:rFonts w:hint="eastAsia" w:ascii="仿宋" w:hAnsi="仿宋" w:eastAsia="仿宋" w:cs="仿宋"/>
          <w:sz w:val="28"/>
          <w:szCs w:val="28"/>
          <w:lang w:eastAsia="zh-CN"/>
        </w:rPr>
        <w:t>、</w:t>
      </w:r>
      <w:r>
        <w:rPr>
          <w:rFonts w:hint="eastAsia" w:ascii="仿宋" w:hAnsi="仿宋" w:eastAsia="仿宋" w:cs="仿宋"/>
          <w:sz w:val="28"/>
          <w:szCs w:val="28"/>
        </w:rPr>
        <w:t>金融服务礼仪</w:t>
      </w:r>
      <w:r>
        <w:rPr>
          <w:rFonts w:hint="eastAsia" w:ascii="仿宋" w:hAnsi="仿宋" w:eastAsia="仿宋" w:cs="仿宋"/>
          <w:sz w:val="28"/>
          <w:szCs w:val="28"/>
          <w:lang w:eastAsia="zh-CN"/>
        </w:rPr>
        <w:t>等。</w:t>
      </w:r>
    </w:p>
    <w:p>
      <w:pPr>
        <w:snapToGrid w:val="0"/>
        <w:ind w:firstLine="442"/>
        <w:rPr>
          <w:rFonts w:hint="eastAsia" w:eastAsia="方正仿宋简体" w:cs="Tahoma"/>
          <w:b/>
          <w:color w:val="auto"/>
          <w:kern w:val="0"/>
          <w:sz w:val="22"/>
          <w:szCs w:val="22"/>
          <w:highlight w:val="none"/>
          <w:lang w:eastAsia="zh-CN"/>
        </w:rPr>
      </w:pPr>
      <w:r>
        <w:rPr>
          <w:rFonts w:hint="eastAsia" w:eastAsia="方正仿宋简体" w:cs="Tahoma"/>
          <w:b/>
          <w:color w:val="auto"/>
          <w:kern w:val="0"/>
          <w:sz w:val="22"/>
          <w:szCs w:val="22"/>
          <w:highlight w:val="none"/>
        </w:rPr>
        <w:t xml:space="preserve">专业类： </w:t>
      </w:r>
      <w:r>
        <w:rPr>
          <w:rFonts w:hint="eastAsia" w:eastAsia="方正仿宋简体" w:cs="Tahoma"/>
          <w:b/>
          <w:color w:val="auto"/>
          <w:kern w:val="0"/>
          <w:sz w:val="22"/>
          <w:szCs w:val="22"/>
          <w:highlight w:val="none"/>
          <w:lang w:eastAsia="zh-CN"/>
        </w:rPr>
        <w:t>金融类</w:t>
      </w:r>
      <w:r>
        <w:rPr>
          <w:rFonts w:hint="eastAsia" w:eastAsia="方正仿宋简体" w:cs="Tahoma"/>
          <w:b/>
          <w:color w:val="auto"/>
          <w:kern w:val="0"/>
          <w:sz w:val="22"/>
          <w:szCs w:val="22"/>
          <w:highlight w:val="none"/>
        </w:rPr>
        <w:t xml:space="preserve">                   </w:t>
      </w:r>
      <w:r>
        <w:rPr>
          <w:rFonts w:hint="eastAsia" w:eastAsia="方正仿宋简体" w:cs="Tahoma"/>
          <w:b/>
          <w:color w:val="auto"/>
          <w:kern w:val="0"/>
          <w:sz w:val="22"/>
          <w:szCs w:val="22"/>
          <w:highlight w:val="none"/>
          <w:lang w:val="en-US" w:eastAsia="zh-CN"/>
        </w:rPr>
        <w:t xml:space="preserve">  </w:t>
      </w:r>
      <w:r>
        <w:rPr>
          <w:rFonts w:hint="eastAsia" w:eastAsia="方正仿宋简体" w:cs="Tahoma"/>
          <w:b/>
          <w:color w:val="auto"/>
          <w:kern w:val="0"/>
          <w:sz w:val="22"/>
          <w:szCs w:val="22"/>
          <w:highlight w:val="none"/>
        </w:rPr>
        <w:t xml:space="preserve">             </w:t>
      </w:r>
      <w:r>
        <w:rPr>
          <w:rFonts w:hint="eastAsia" w:eastAsia="方正仿宋简体" w:cs="Tahoma"/>
          <w:b/>
          <w:color w:val="auto"/>
          <w:kern w:val="0"/>
          <w:sz w:val="22"/>
          <w:szCs w:val="22"/>
          <w:highlight w:val="none"/>
          <w:lang w:val="en-US" w:eastAsia="zh-CN"/>
        </w:rPr>
        <w:t xml:space="preserve">    </w:t>
      </w:r>
      <w:r>
        <w:rPr>
          <w:rFonts w:hint="eastAsia" w:eastAsia="方正仿宋简体" w:cs="Tahoma"/>
          <w:b/>
          <w:color w:val="auto"/>
          <w:kern w:val="0"/>
          <w:sz w:val="22"/>
          <w:szCs w:val="22"/>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8"/>
        <w:gridCol w:w="453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widowControl/>
              <w:ind w:firstLine="0" w:firstLineChars="0"/>
              <w:jc w:val="center"/>
              <w:rPr>
                <w:rFonts w:ascii="仿宋" w:hAnsi="仿宋" w:eastAsia="仿宋" w:cs="仿宋"/>
                <w:color w:val="0070C0"/>
                <w:sz w:val="28"/>
                <w:szCs w:val="28"/>
              </w:rPr>
            </w:pPr>
            <w:r>
              <w:rPr>
                <w:rFonts w:hint="eastAsia" w:ascii="仿宋" w:hAnsi="仿宋" w:eastAsia="仿宋" w:cs="仿宋"/>
                <w:b/>
                <w:sz w:val="21"/>
                <w:szCs w:val="21"/>
              </w:rPr>
              <w:t>序号</w:t>
            </w:r>
          </w:p>
        </w:tc>
        <w:tc>
          <w:tcPr>
            <w:tcW w:w="2268" w:type="dxa"/>
            <w:vAlign w:val="center"/>
          </w:tcPr>
          <w:p>
            <w:pPr>
              <w:pStyle w:val="10"/>
              <w:widowControl/>
              <w:ind w:firstLine="0" w:firstLineChars="0"/>
              <w:jc w:val="center"/>
              <w:rPr>
                <w:rFonts w:ascii="仿宋" w:hAnsi="仿宋" w:eastAsia="仿宋" w:cs="仿宋"/>
                <w:color w:val="0070C0"/>
                <w:sz w:val="28"/>
                <w:szCs w:val="28"/>
              </w:rPr>
            </w:pPr>
            <w:r>
              <w:rPr>
                <w:rFonts w:hint="eastAsia" w:ascii="仿宋" w:hAnsi="仿宋" w:eastAsia="仿宋" w:cs="仿宋"/>
                <w:b/>
                <w:sz w:val="21"/>
                <w:szCs w:val="21"/>
              </w:rPr>
              <w:t>课程名称</w:t>
            </w:r>
          </w:p>
        </w:tc>
        <w:tc>
          <w:tcPr>
            <w:tcW w:w="4536" w:type="dxa"/>
            <w:vAlign w:val="center"/>
          </w:tcPr>
          <w:p>
            <w:pPr>
              <w:pStyle w:val="10"/>
              <w:widowControl/>
              <w:ind w:firstLine="422"/>
              <w:jc w:val="center"/>
              <w:rPr>
                <w:rFonts w:ascii="仿宋" w:hAnsi="仿宋" w:eastAsia="仿宋" w:cs="仿宋"/>
                <w:color w:val="0070C0"/>
                <w:sz w:val="28"/>
                <w:szCs w:val="28"/>
              </w:rPr>
            </w:pPr>
            <w:r>
              <w:rPr>
                <w:rFonts w:hint="eastAsia" w:ascii="仿宋" w:hAnsi="仿宋" w:eastAsia="仿宋" w:cs="仿宋"/>
                <w:b/>
                <w:sz w:val="21"/>
                <w:szCs w:val="21"/>
              </w:rPr>
              <w:t>课程内容</w:t>
            </w:r>
          </w:p>
        </w:tc>
        <w:tc>
          <w:tcPr>
            <w:tcW w:w="1695" w:type="dxa"/>
            <w:vAlign w:val="center"/>
          </w:tcPr>
          <w:p>
            <w:pPr>
              <w:pStyle w:val="10"/>
              <w:widowControl/>
              <w:ind w:firstLine="0" w:firstLineChars="0"/>
              <w:jc w:val="center"/>
              <w:rPr>
                <w:rFonts w:ascii="仿宋" w:hAnsi="仿宋" w:eastAsia="仿宋" w:cs="仿宋"/>
                <w:color w:val="0070C0"/>
                <w:sz w:val="28"/>
                <w:szCs w:val="28"/>
              </w:rPr>
            </w:pPr>
            <w:r>
              <w:rPr>
                <w:rFonts w:hint="eastAsia" w:ascii="仿宋" w:hAnsi="仿宋" w:eastAsia="仿宋" w:cs="仿宋"/>
                <w:b/>
                <w:sz w:val="21"/>
                <w:szCs w:val="21"/>
                <w:lang w:val="en-US" w:eastAsia="zh-CN"/>
              </w:rPr>
              <w:t>评定</w:t>
            </w:r>
            <w:r>
              <w:rPr>
                <w:rFonts w:hint="eastAsia" w:ascii="仿宋" w:hAnsi="仿宋" w:eastAsia="仿宋" w:cs="仿宋"/>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ascii="仿宋" w:hAnsi="仿宋" w:eastAsia="仿宋" w:cs="仿宋"/>
                <w:sz w:val="21"/>
                <w:szCs w:val="21"/>
              </w:rPr>
            </w:pPr>
            <w:r>
              <w:rPr>
                <w:rFonts w:hint="eastAsia" w:ascii="仿宋" w:hAnsi="仿宋" w:eastAsia="仿宋" w:cs="仿宋"/>
                <w:sz w:val="21"/>
                <w:szCs w:val="21"/>
              </w:rPr>
              <w:t>1</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经济学基础</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经济学基础是金融类专业的基础理论课程，主要内容包括商品经济的一般理论和马克思主义政治经济学的基本原理。本课程学习的总体目标是使学生对经济学原理有一个初步的认识，具备经济管理观念。通过采用合理的结构传授给学生相应的知识，通过案例分析和讨论提高学生分析和解决问题的能力，把经济学的基本理论应用于实际，引入生活案例和政策分析等内容，做到深入浅出，并与其专业相结合，提高学生的学习兴趣。</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ascii="仿宋" w:hAnsi="仿宋" w:eastAsia="仿宋" w:cs="仿宋"/>
                <w:sz w:val="21"/>
                <w:szCs w:val="21"/>
              </w:rPr>
            </w:pPr>
            <w:r>
              <w:rPr>
                <w:rFonts w:hint="eastAsia" w:ascii="仿宋" w:hAnsi="仿宋" w:eastAsia="仿宋" w:cs="仿宋"/>
                <w:sz w:val="21"/>
                <w:szCs w:val="21"/>
              </w:rPr>
              <w:t>2</w:t>
            </w:r>
          </w:p>
        </w:tc>
        <w:tc>
          <w:tcPr>
            <w:tcW w:w="2268" w:type="dxa"/>
            <w:vAlign w:val="center"/>
          </w:tcPr>
          <w:p>
            <w:pPr>
              <w:overflowPunct w:val="0"/>
              <w:adjustRightInd w:val="0"/>
              <w:spacing w:line="600" w:lineRule="exact"/>
              <w:ind w:firstLine="630" w:firstLineChars="300"/>
              <w:jc w:val="left"/>
              <w:rPr>
                <w:rFonts w:ascii="仿宋" w:hAnsi="仿宋" w:eastAsia="仿宋" w:cs="仿宋"/>
                <w:sz w:val="21"/>
                <w:szCs w:val="21"/>
              </w:rPr>
            </w:pPr>
            <w:r>
              <w:rPr>
                <w:rFonts w:hint="eastAsia" w:ascii="仿宋" w:hAnsi="仿宋" w:eastAsia="仿宋" w:cs="仿宋"/>
                <w:sz w:val="21"/>
                <w:szCs w:val="21"/>
              </w:rPr>
              <w:t>金融基础</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研究市场经济条件下，金融市场运行机制和规律。通过该课程的教学，学生对金融方面的基本理论有较全面的理解和较深刻的认识，对货币、信用、银行、金融市场、国际金融、金融宏观调控等基本范畴有较系统的掌握，并能将所学的金融学知识和理论运用到今后的生活、管理与学习中去。</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ascii="仿宋" w:hAnsi="仿宋" w:eastAsia="仿宋" w:cs="仿宋"/>
                <w:sz w:val="21"/>
                <w:szCs w:val="21"/>
              </w:rPr>
            </w:pPr>
            <w:r>
              <w:rPr>
                <w:rFonts w:hint="eastAsia" w:ascii="仿宋" w:hAnsi="仿宋" w:eastAsia="仿宋" w:cs="仿宋"/>
                <w:sz w:val="21"/>
                <w:szCs w:val="21"/>
              </w:rPr>
              <w:t>3</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金融科技概论</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金融科技领域的知识介绍，培养学生对于金融科技业态的理论认识和分析水平，以及具备相应一定的实际操作动手能力，是展开专业后续深入学习的一门专业基础课程。在对金融科技各种模式介绍的同时，也对中国的金融科技监管做了一定程度的最新的介绍，有助于全面理解和把握金融科技的业态定位及其发展方向。主要培养对于金融科技各类型业务的认知能力、操作应用和管理能力以及培养信息技术在金融领域的创新思维能力。</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ascii="仿宋" w:hAnsi="仿宋" w:eastAsia="仿宋" w:cs="仿宋"/>
                <w:sz w:val="21"/>
                <w:szCs w:val="21"/>
              </w:rPr>
            </w:pPr>
            <w:r>
              <w:rPr>
                <w:rFonts w:ascii="仿宋" w:hAnsi="仿宋" w:eastAsia="仿宋" w:cs="仿宋"/>
                <w:sz w:val="21"/>
                <w:szCs w:val="21"/>
              </w:rPr>
              <w:t>4</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经济法</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经济法课程是一门研究经济法的产生、发展规律及其实际应用问题的学科，是一门既有理论性又有实践性的学科。. 课程主要学习内容包括：经济法概述、财产所有权、代理和时效、公司法律制度、企业破产法律制度、市场竞争法律制度、合同法律制度等。通过对本课程的学习，使学生系统掌握经济法的基本理论与基础知识，培养学生运用经济法理论及有关法律、法规分析和解决经济生活中的实际问题的能力。</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ascii="仿宋" w:hAnsi="仿宋" w:eastAsia="仿宋" w:cs="仿宋"/>
                <w:sz w:val="21"/>
                <w:szCs w:val="21"/>
              </w:rPr>
            </w:pPr>
            <w:r>
              <w:rPr>
                <w:rFonts w:ascii="仿宋" w:hAnsi="仿宋" w:eastAsia="仿宋" w:cs="仿宋"/>
                <w:sz w:val="21"/>
                <w:szCs w:val="21"/>
              </w:rPr>
              <w:t>5</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会计基础</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主要学习会计职业认知内容、会计基本理论和会计核算基本方法，重点为会计核算基本方法，难点为借贷记账法的应用。通过本课程的学习，第一，可使学生能够正确认知会计职业在社会经济发展中的重要作用；第二，使学生学会运用借贷记账法反映会计业务的增减变动情况；第三，能够对小型制造企业的日常活动进行正确规范的核算。</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金融基本技能</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金融基本技能课程是中职</w:t>
            </w:r>
            <w:r>
              <w:rPr>
                <w:rFonts w:ascii="仿宋" w:hAnsi="仿宋" w:eastAsia="仿宋" w:cs="仿宋"/>
                <w:sz w:val="21"/>
                <w:szCs w:val="21"/>
              </w:rPr>
              <w:t>金融事务专业的一门技能训练课程，旨在让学生掌握适应各种</w:t>
            </w:r>
            <w:r>
              <w:rPr>
                <w:rFonts w:hint="eastAsia" w:ascii="仿宋" w:hAnsi="仿宋" w:eastAsia="仿宋" w:cs="仿宋"/>
                <w:sz w:val="21"/>
                <w:szCs w:val="21"/>
              </w:rPr>
              <w:t>金融</w:t>
            </w:r>
            <w:r>
              <w:rPr>
                <w:rFonts w:ascii="仿宋" w:hAnsi="仿宋" w:eastAsia="仿宋" w:cs="仿宋"/>
                <w:sz w:val="21"/>
                <w:szCs w:val="21"/>
              </w:rPr>
              <w:t>业务特点的计算方法与技能，加强基本技能和动手能力的培养，同时根据职业岗位需求，使学生熟练职业技能，增强适应职业变化的能力，为将来适应工作岗位练就熟练、扎实的</w:t>
            </w:r>
            <w:r>
              <w:rPr>
                <w:rFonts w:hint="eastAsia" w:ascii="仿宋" w:hAnsi="仿宋" w:eastAsia="仿宋" w:cs="仿宋"/>
                <w:sz w:val="21"/>
                <w:szCs w:val="21"/>
              </w:rPr>
              <w:t>职业</w:t>
            </w:r>
            <w:r>
              <w:rPr>
                <w:rFonts w:ascii="仿宋" w:hAnsi="仿宋" w:eastAsia="仿宋" w:cs="仿宋"/>
                <w:sz w:val="21"/>
                <w:szCs w:val="21"/>
              </w:rPr>
              <w:t>技能</w:t>
            </w:r>
            <w:r>
              <w:rPr>
                <w:rFonts w:hint="eastAsia" w:ascii="仿宋" w:hAnsi="仿宋" w:eastAsia="仿宋" w:cs="仿宋"/>
                <w:sz w:val="21"/>
                <w:szCs w:val="21"/>
              </w:rPr>
              <w:t>。</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268" w:type="dxa"/>
            <w:vAlign w:val="center"/>
          </w:tcPr>
          <w:p>
            <w:pPr>
              <w:overflowPunct w:val="0"/>
              <w:adjustRightInd w:val="0"/>
              <w:spacing w:line="600" w:lineRule="exact"/>
              <w:ind w:firstLine="630" w:firstLineChars="300"/>
              <w:jc w:val="left"/>
              <w:rPr>
                <w:rFonts w:ascii="仿宋" w:hAnsi="仿宋" w:eastAsia="仿宋" w:cs="仿宋"/>
                <w:sz w:val="21"/>
                <w:szCs w:val="21"/>
              </w:rPr>
            </w:pPr>
            <w:r>
              <w:rPr>
                <w:rFonts w:hint="eastAsia" w:ascii="仿宋" w:hAnsi="仿宋" w:eastAsia="仿宋" w:cs="仿宋"/>
                <w:sz w:val="21"/>
                <w:szCs w:val="21"/>
              </w:rPr>
              <w:t>公司金融</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公司金融是一门以提高经济效益为目的、以公司运筹资金为对象的应用性的经济管理学科，它阐明了公司金融的基本理论和基本方法。本课程以企业资金运动为中心内容，以公司资金的筹集、投放、耗费、收入和分配为框架，阐述公司金融的基本概念、管理原则、管理制度等理论问题以及预测、决策、计划、控制、分析等业务方法。</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268" w:type="dxa"/>
            <w:vAlign w:val="center"/>
          </w:tcPr>
          <w:p>
            <w:pPr>
              <w:overflowPunct w:val="0"/>
              <w:adjustRightInd w:val="0"/>
              <w:spacing w:line="600" w:lineRule="exact"/>
              <w:ind w:firstLine="630" w:firstLineChars="300"/>
              <w:jc w:val="left"/>
              <w:rPr>
                <w:rFonts w:ascii="仿宋" w:hAnsi="仿宋" w:eastAsia="仿宋" w:cs="仿宋"/>
                <w:sz w:val="21"/>
                <w:szCs w:val="21"/>
              </w:rPr>
            </w:pPr>
            <w:r>
              <w:rPr>
                <w:rFonts w:hint="eastAsia" w:ascii="仿宋" w:hAnsi="仿宋" w:eastAsia="仿宋" w:cs="仿宋"/>
                <w:sz w:val="21"/>
                <w:szCs w:val="21"/>
              </w:rPr>
              <w:t>金融营销</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本课程的学习，让学生可以通过营销或销售的学习方式更加深入的了解当今社会中的金融产品。同时，学会利用大数据搜索工具，分析金融的发展趋势、了解金融产品未来的销售情况；掌握金融产品的申购流程和利率；掌握现代营销学的理论基础，会进行金融产品营销活动的开展。</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项目考核</w:t>
            </w:r>
          </w:p>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金融大数据分析</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课程根据数据分析的过程，系统介绍了数据的收集、数据的处理、数据的分析、数据的展现、分析报告的撰写。让学生掌握数据资料收集方法；掌握数据信息处理和分析方法，并能初步进行市场预测；掌握运用EXCEL进行数据处理分析的基本方法；具有撰写数据分析报告能力。</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实作考核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268" w:type="dxa"/>
            <w:vAlign w:val="center"/>
          </w:tcPr>
          <w:p>
            <w:pPr>
              <w:overflowPunct w:val="0"/>
              <w:adjustRightInd w:val="0"/>
              <w:spacing w:line="600" w:lineRule="exact"/>
              <w:ind w:firstLine="630" w:firstLineChars="300"/>
              <w:jc w:val="left"/>
              <w:rPr>
                <w:rFonts w:ascii="仿宋" w:hAnsi="仿宋" w:eastAsia="仿宋" w:cs="仿宋"/>
                <w:sz w:val="21"/>
                <w:szCs w:val="21"/>
              </w:rPr>
            </w:pPr>
            <w:r>
              <w:rPr>
                <w:rFonts w:hint="eastAsia" w:ascii="仿宋" w:hAnsi="仿宋" w:eastAsia="仿宋" w:cs="仿宋"/>
                <w:sz w:val="21"/>
                <w:szCs w:val="21"/>
              </w:rPr>
              <w:t>个人理财</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通过设计具体的工作任务或项目载体，让学生掌握证券、保险、银行等各理财投资产品的内容，学会分析财务状况；</w:t>
            </w:r>
          </w:p>
          <w:p>
            <w:pPr>
              <w:overflowPunct w:val="0"/>
              <w:adjustRightInd w:val="0"/>
              <w:spacing w:line="276" w:lineRule="auto"/>
              <w:ind w:firstLine="0" w:firstLineChars="0"/>
              <w:jc w:val="left"/>
              <w:rPr>
                <w:rFonts w:ascii="仿宋" w:hAnsi="仿宋" w:eastAsia="仿宋" w:cs="仿宋"/>
                <w:sz w:val="21"/>
                <w:szCs w:val="21"/>
              </w:rPr>
            </w:pPr>
            <w:r>
              <w:rPr>
                <w:rFonts w:hint="eastAsia" w:ascii="仿宋" w:hAnsi="仿宋" w:eastAsia="仿宋" w:cs="仿宋"/>
                <w:sz w:val="21"/>
                <w:szCs w:val="21"/>
              </w:rPr>
              <w:t xml:space="preserve">掌握现金理财、银行理财、证券投资理财、教育规划、房地产理财、税务规划、退休养老规划、遗产规划等理财工作的实践操作方法和基本操作技能。同时在学生本课程中，还要掌握一定的资料收集与分析、计算机信息处理与创新等方法能力和语言表达、人际沟通和团队协作等社会能力。    </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268" w:type="dxa"/>
            <w:vAlign w:val="center"/>
          </w:tcPr>
          <w:p>
            <w:pPr>
              <w:overflowPunct w:val="0"/>
              <w:adjustRightInd w:val="0"/>
              <w:spacing w:line="600" w:lineRule="exact"/>
              <w:ind w:firstLine="409" w:firstLineChars="195"/>
              <w:jc w:val="left"/>
              <w:rPr>
                <w:rFonts w:ascii="仿宋" w:hAnsi="仿宋" w:eastAsia="仿宋" w:cs="仿宋"/>
                <w:sz w:val="21"/>
                <w:szCs w:val="21"/>
              </w:rPr>
            </w:pPr>
            <w:r>
              <w:rPr>
                <w:rFonts w:hint="eastAsia" w:ascii="仿宋" w:hAnsi="仿宋" w:eastAsia="仿宋" w:cs="仿宋"/>
                <w:sz w:val="21"/>
                <w:szCs w:val="21"/>
              </w:rPr>
              <w:t>智能证券投资</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本课程由六部分组成，第一个人理财基础、第二证券投资基础、第三证券投资工具、第四证券投资市场介绍、第五证券投资的基本分析和第六证券投资的技术分析。</w:t>
            </w:r>
          </w:p>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本课程的学习和操作，使学生对投资方法和理念有一个基本的认识，能较好地掌握股票、债券、基金等金融工具的投资交易程序和投资分析技巧，提高学生的投资意识和风险意识，为以后从事证券投资实践及相关工作打下坚实的基础，最终达到培养专业化的、高素质的金融实用型人才的目标。</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lang w:eastAsia="zh-CN"/>
              </w:rPr>
              <w:t>上机</w:t>
            </w:r>
            <w:r>
              <w:rPr>
                <w:rFonts w:hint="eastAsia" w:ascii="仿宋" w:hAnsi="仿宋" w:eastAsia="仿宋" w:cs="仿宋"/>
                <w:sz w:val="21"/>
                <w:szCs w:val="21"/>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小额信贷实务</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对小额信贷基础知识的学习，让学生能够根据流程和业务规范进行小额信贷业务操作；学会对小额信贷业务风险的防控；理解小额信贷绩效评价的内涵及其评价方法，能进行具体运用；能根据市场实际情况设计针对性的小额信贷产品；</w:t>
            </w:r>
          </w:p>
          <w:p>
            <w:pPr>
              <w:overflowPunct w:val="0"/>
              <w:adjustRightInd w:val="0"/>
              <w:spacing w:line="276" w:lineRule="auto"/>
              <w:ind w:firstLine="0" w:firstLineChars="0"/>
              <w:jc w:val="left"/>
              <w:rPr>
                <w:rFonts w:ascii="仿宋" w:hAnsi="仿宋" w:eastAsia="仿宋" w:cs="仿宋"/>
                <w:sz w:val="21"/>
                <w:szCs w:val="21"/>
              </w:rPr>
            </w:pPr>
            <w:r>
              <w:rPr>
                <w:rFonts w:hint="eastAsia" w:ascii="仿宋" w:hAnsi="仿宋" w:eastAsia="仿宋" w:cs="仿宋"/>
                <w:sz w:val="21"/>
                <w:szCs w:val="21"/>
              </w:rPr>
              <w:t>掌握不同营销策略的特征及优缺点，能根据机构实际情况选择适合的营销策略。</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商业银行经营与管理</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主要任务是使学生比较全面地掌握商业银行的基本概念、基本理论，掌握商业银行各项业务（包括负债业务、现金资产业务、贷款业务、证券投资业务、中间业务、国际业务、创新业务等）的经营要点，熟悉商业银行资本管理、资产负债管理、风险管理、市场营销管理、人力资源管理及绩效管理的管理方法，以达到金融专业学生培养目标的要求，同时为后续金融课程的学习打下基础。</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电子商务</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电子商务基础是金融科技专业的一专业核心课程，是理论与实践相融合的综合性课程。目的是让学生初步掌握涉及电子商务的全面的基础性知识,对电子商务中涉及到的技术及商务问题有个清晰的认识，为其他专业课的学习建立一个系统与明确的观点。整个课程分为认知电子商务、电子商务网络技术基础、电子支付、网络营销、电子商务与物流、电子商务的法律问题、电子商务应用系统建设、移动电子商务等模块。</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保险原理与实务</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本课程是金融科技专业的一门专业核心课程，也是金融学专业的主干课程之一。</w:t>
            </w:r>
            <w:r>
              <w:rPr>
                <w:rFonts w:ascii="仿宋" w:hAnsi="仿宋" w:eastAsia="仿宋" w:cs="仿宋"/>
                <w:sz w:val="21"/>
                <w:szCs w:val="21"/>
              </w:rPr>
              <w:t>通过本课程的学习，使学生掌握保险的基本理论与基本方法，对我国的保险业、保险市场有一个比较概括的了解，特别是对财产保险和人身保险有客观、充分的认识，从而扩大学生的金融视野，增强学生的整体的金融素质，为学生今后从事金融工作、保险实务工作打下坚实的基础。</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268" w:type="dxa"/>
            <w:vAlign w:val="center"/>
          </w:tcPr>
          <w:p>
            <w:pPr>
              <w:overflowPunct w:val="0"/>
              <w:adjustRightInd w:val="0"/>
              <w:spacing w:line="600" w:lineRule="exact"/>
              <w:ind w:firstLine="199" w:firstLineChars="95"/>
              <w:jc w:val="left"/>
              <w:rPr>
                <w:rFonts w:ascii="仿宋" w:hAnsi="仿宋" w:eastAsia="仿宋" w:cs="仿宋"/>
                <w:sz w:val="21"/>
                <w:szCs w:val="21"/>
              </w:rPr>
            </w:pPr>
            <w:r>
              <w:rPr>
                <w:rFonts w:hint="eastAsia" w:ascii="仿宋" w:hAnsi="仿宋" w:eastAsia="仿宋" w:cs="仿宋"/>
                <w:sz w:val="21"/>
                <w:szCs w:val="21"/>
              </w:rPr>
              <w:t>金融信托与租赁</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是金融学相关专业的核心课程，探讨的是信托与融资租赁的理论及应用问题。课程融理论性和实践性为一体，包括信托与融资租赁两个模块。信托模块主要内容涵盖：信托的基本原理、我国信托公司的主要业务；融资租赁模块涵盖融资租赁的功能、融资租赁公司的资金来源、资金管理与风险控制等内容。课程结合相关法律法规的变化，求新务实，通过本课程的学习，对信托与租赁业务将有一个全面的了解。通过本课程的学习与可培育学生经世济民、明礼诚信、德法兼修的职业素养。</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金融衍生品</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本课程的学习，使学生能够掌握金融衍生工具的概念、特点与基本功能，了解金融衍生工具与金融创新、金融工程与金融发展的关系，知道金融衍生工具产生和发展的微观因素及内在动因、宏观因素及外在动因，明确金融衍生工具的知识结构、研究范围和内容体系，对金融衍生工具在企业管理、风险控制、公司理财、投资决策、以及金融各行业中的具体应用留下初步印象。结合实际的教学，使学生逐步养成关注实际，对新信息和新事物具有敏感性的思维方式，同时通过一些案例分析进行一定的金融职业道德教育。进一步梳理中国特色社会主义经济理论的演进过程，尤其金融衍生品发展历程，可以更好地帮助学生深入理解金融结构变迁的‘中国模式’，增强学生对于中国特色社会主义理论，尤其是习近平新时代中国特色社会主义经济思想学习的自觉性和主动性。</w:t>
            </w:r>
          </w:p>
        </w:tc>
        <w:tc>
          <w:tcPr>
            <w:tcW w:w="1695" w:type="dxa"/>
            <w:vAlign w:val="center"/>
          </w:tcPr>
          <w:p>
            <w:pPr>
              <w:overflowPunct w:val="0"/>
              <w:adjustRightInd w:val="0"/>
              <w:spacing w:line="240" w:lineRule="auto"/>
              <w:ind w:firstLine="409" w:firstLineChars="1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409" w:firstLineChars="195"/>
              <w:jc w:val="center"/>
              <w:rPr>
                <w:rFonts w:ascii="仿宋" w:hAnsi="仿宋" w:eastAsia="仿宋" w:cs="仿宋"/>
                <w:sz w:val="21"/>
                <w:szCs w:val="21"/>
              </w:rPr>
            </w:pPr>
            <w:r>
              <w:rPr>
                <w:rFonts w:hint="eastAsia" w:ascii="仿宋" w:hAnsi="仿宋" w:eastAsia="仿宋" w:cs="仿宋"/>
                <w:sz w:val="21"/>
                <w:szCs w:val="21"/>
                <w:lang w:eastAsia="zh-CN"/>
              </w:rPr>
              <w:t>上机</w:t>
            </w:r>
            <w:r>
              <w:rPr>
                <w:rFonts w:hint="eastAsia" w:ascii="仿宋" w:hAnsi="仿宋" w:eastAsia="仿宋" w:cs="仿宋"/>
                <w:sz w:val="21"/>
                <w:szCs w:val="21"/>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金融服务礼仪</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金融服务礼仪是金融行业从业人员的必备素质之一，在提高行业文明程度、增强行业竞争力、提高金融企业管理水平、提升行业社会美誉度等方面起着重要的作用。通过本课程的学习，使学生在了解金融客户服务基本礼仪的基础上，掌握客户服务的语言沟通技巧和接待技巧，从而培养良好的客户服务能力，有助于提高我专业综合服务技能，提高就业优势。</w:t>
            </w:r>
          </w:p>
        </w:tc>
        <w:tc>
          <w:tcPr>
            <w:tcW w:w="1695" w:type="dxa"/>
            <w:vAlign w:val="center"/>
          </w:tcPr>
          <w:p>
            <w:pPr>
              <w:overflowPunct w:val="0"/>
              <w:adjustRightInd w:val="0"/>
              <w:spacing w:line="240" w:lineRule="auto"/>
              <w:ind w:firstLine="304" w:firstLineChars="145"/>
              <w:jc w:val="center"/>
              <w:rPr>
                <w:rFonts w:ascii="仿宋" w:hAnsi="仿宋" w:eastAsia="仿宋" w:cs="仿宋"/>
                <w:sz w:val="21"/>
                <w:szCs w:val="21"/>
              </w:rPr>
            </w:pPr>
            <w:r>
              <w:rPr>
                <w:rFonts w:hint="eastAsia" w:ascii="仿宋" w:hAnsi="仿宋" w:eastAsia="仿宋" w:cs="仿宋"/>
                <w:sz w:val="21"/>
                <w:szCs w:val="21"/>
              </w:rPr>
              <w:t>成果评审</w:t>
            </w:r>
          </w:p>
          <w:p>
            <w:pPr>
              <w:overflowPunct w:val="0"/>
              <w:adjustRightIn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 xml:space="preserve"> 情景模拟考核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金融品牌策划与推广</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通过本课程系统的理论学习、案例教学和动手实践，使学生能够全面而深入地理解金融品牌理论及基本常识，包括品牌的定义及其构成要素、品牌价值的界定及其构成、品牌定位原理、品牌个性识别、品牌形象识别、品牌传播的基本概念、品牌延伸的原理、品牌营销战略、品牌推广活动等，并能够综合运用上述品牌理论知识且有针对性有创意的运用在具体的项目策划过程中。</w:t>
            </w:r>
          </w:p>
        </w:tc>
        <w:tc>
          <w:tcPr>
            <w:tcW w:w="1695" w:type="dxa"/>
            <w:vAlign w:val="center"/>
          </w:tcPr>
          <w:p>
            <w:pPr>
              <w:overflowPunct w:val="0"/>
              <w:adjustRightInd w:val="0"/>
              <w:spacing w:line="240" w:lineRule="auto"/>
              <w:ind w:firstLine="304" w:firstLineChars="14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金融风险管理</w:t>
            </w:r>
          </w:p>
        </w:tc>
        <w:tc>
          <w:tcPr>
            <w:tcW w:w="4536" w:type="dxa"/>
            <w:vAlign w:val="center"/>
          </w:tcPr>
          <w:p>
            <w:pPr>
              <w:overflowPunct w:val="0"/>
              <w:adjustRightInd w:val="0"/>
              <w:spacing w:line="276" w:lineRule="auto"/>
              <w:ind w:firstLine="420"/>
              <w:jc w:val="left"/>
            </w:pPr>
            <w:r>
              <w:rPr>
                <w:rFonts w:hint="eastAsia" w:ascii="仿宋" w:hAnsi="仿宋" w:eastAsia="仿宋" w:cs="仿宋"/>
                <w:sz w:val="21"/>
                <w:szCs w:val="21"/>
              </w:rPr>
              <w:t>金融风险控制与管理课程金融类管理专业的一门专业课，是为培养适应社会主义市场经济要求的经济工作者特别是从事金融管理的专门人才的需要而设置的课程。金融风险控制与管理主要从理论与实践、历史与现实的分析与考察中较全面地阐述金融风险的发生、发展规律，进而找出控制与化解金融风险的方法。通过本课程的学习，能够较全面、系统地掌握金融风险管理的基本理论和基本方法，培养和提高分析问题和解决问题的能力，使我专业毕业后能更好地适应金融及相关工作的需要。</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大数据与征信</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大数据金融是金融科技应用学专业的一门专业拓展课，课程着重介绍当前大数据原理及大数据在金融领域的应用。内容主要包括大数据采集、存储及处理，大数据分析基础，大数据挖掘的模型与算法，并重点针对大数据在传统金融、互联网金融、征信、监管科技等领域的应用进行介绍。通过本课程的学习，使学生对本大纲范围内的大数据的基本原理和技术有比较系统和全面的了解；对大数据与金融相结合的前沿热点有正确的认识；理清楚大数据与金融的联系；培养学生具有开阔的眼界，以及思考和理解新概念的能力。</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区块链金融</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区块链金融课程这门课程围绕大数据及区块链展开，首先介绍银行数字化的创新思考，介绍数字化创新的思考模式，在思想上普及银行数字化，然后介绍银行大数据以及区块链+金融，具体介绍大数据及区块链在金融领域的应用情况，最后，总结银行数字化转型的经验。通过本课程学习致力于详实地介绍区块链理论和应用，旨在让学生掌握三个方面的内容：由浅入深地介绍了区块链技术缘起、演进过程、技术原理和发展趋势；分享并解析了落地应用案例；分析探究了区块链的价值、未来发展趋势以及有关区块链的其他问题。</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实作考核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2268" w:type="dxa"/>
            <w:vAlign w:val="center"/>
          </w:tcPr>
          <w:p>
            <w:pPr>
              <w:overflowPunct w:val="0"/>
              <w:adjustRightInd w:val="0"/>
              <w:spacing w:line="600" w:lineRule="exact"/>
              <w:ind w:firstLine="420"/>
              <w:jc w:val="left"/>
              <w:rPr>
                <w:rFonts w:ascii="仿宋" w:hAnsi="仿宋" w:eastAsia="仿宋" w:cs="仿宋"/>
                <w:sz w:val="21"/>
                <w:szCs w:val="21"/>
              </w:rPr>
            </w:pPr>
            <w:r>
              <w:rPr>
                <w:rFonts w:hint="eastAsia" w:ascii="仿宋" w:hAnsi="仿宋" w:eastAsia="仿宋" w:cs="仿宋"/>
                <w:sz w:val="21"/>
                <w:szCs w:val="21"/>
              </w:rPr>
              <w:t>企业内部控制</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企业内部控制是一门跨学科、跨领域的综合知识和技能,需要了解和熟悉金融、会计、财务管理、计、公司治理等多学科、多领域的基础知识。在日常生活、工作中都在某种程度上进行着内部控制与风险管理，通过此课程的学习具备一定的内部控制与风险管理常识，从而更加系统、更加有效的进行内部控制与风险管理。</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金融市场基础知识</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主要介绍金融市场尤其是证券市场的基本理论、基本知识、证券市场运行的基本规律及其管理原则以及证券投资的理念、策略和一般方法等。本课程是为了考取证券从业资格证，适应证券公司营销、经纪、后台岗位的工作需要，重点是证券经纪岗位的工作内容。教学内容的设计以经纪工作为载体，将其所需具备的各项知识和能力融入到各项教学活动中。</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2268" w:type="dxa"/>
            <w:vAlign w:val="center"/>
          </w:tcPr>
          <w:p>
            <w:pPr>
              <w:overflowPunct w:val="0"/>
              <w:adjustRightIn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证券市场基本</w:t>
            </w:r>
          </w:p>
          <w:p>
            <w:pPr>
              <w:overflowPunct w:val="0"/>
              <w:adjustRightIn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法律法规</w:t>
            </w:r>
          </w:p>
        </w:tc>
        <w:tc>
          <w:tcPr>
            <w:tcW w:w="4536" w:type="dxa"/>
            <w:vAlign w:val="center"/>
          </w:tcPr>
          <w:p>
            <w:pPr>
              <w:overflowPunct w:val="0"/>
              <w:adjustRightInd w:val="0"/>
              <w:spacing w:line="276" w:lineRule="auto"/>
              <w:ind w:firstLine="420" w:firstLineChars="200"/>
              <w:jc w:val="left"/>
              <w:rPr>
                <w:rFonts w:ascii="仿宋" w:hAnsi="仿宋" w:eastAsia="仿宋" w:cs="仿宋"/>
                <w:sz w:val="21"/>
                <w:szCs w:val="21"/>
              </w:rPr>
            </w:pPr>
            <w:r>
              <w:rPr>
                <w:rFonts w:hint="eastAsia" w:ascii="仿宋" w:hAnsi="仿宋" w:eastAsia="仿宋" w:cs="仿宋"/>
                <w:sz w:val="21"/>
                <w:szCs w:val="21"/>
              </w:rPr>
              <w:t>证券市场法律法规是金融专业基础课程之一，也是证券从业资格证考试科目之一。主要内容包括证券市场基本法律法规、证券从业人员管理、证券公司业务规范以及证券市场典型违法违规行为及法律责任。学习的基本都是一些规章制度，需要大家背诵的东西很多，在实践教学中应把考证整体融入实践教学中，丰富课堂教学内容，提高学生学习兴趣，提高证券从业资格证考试过关率。</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2268" w:type="dxa"/>
            <w:vAlign w:val="center"/>
          </w:tcPr>
          <w:p>
            <w:pPr>
              <w:overflowPunct w:val="0"/>
              <w:adjustRightInd w:val="0"/>
              <w:spacing w:line="600" w:lineRule="exact"/>
              <w:ind w:firstLine="0" w:firstLineChars="0"/>
              <w:jc w:val="center"/>
              <w:rPr>
                <w:rFonts w:ascii="仿宋" w:hAnsi="仿宋" w:eastAsia="仿宋" w:cs="仿宋"/>
                <w:sz w:val="21"/>
                <w:szCs w:val="21"/>
              </w:rPr>
            </w:pPr>
            <w:r>
              <w:rPr>
                <w:rFonts w:hint="eastAsia" w:ascii="仿宋" w:hAnsi="仿宋" w:eastAsia="仿宋" w:cs="仿宋"/>
                <w:sz w:val="21"/>
                <w:szCs w:val="21"/>
              </w:rPr>
              <w:t>客户服务与管理</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客户服务与管理是金融类专业的一门基础课程，主要是培养学生有关客户服务与管理的基本技能，让学生掌握客户关系管理的实际操作能力，使学生具备从事客户服务与管理的基本职业能力，并为后续工学交替、顶岗实习作前期准备。该课程要求学生通过对客户服务相关业务的仿真操作与情景模拟的学习，能够了解客户服务部不同岗位应具备的知识与技能，掌握各项服务业务的基本流程，初步具备从事客户服务与管理的操作技能，具有善于沟通和合作的品质，为学生发展专业化职业能力奠定基础。</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成果评审</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2268" w:type="dxa"/>
            <w:vAlign w:val="center"/>
          </w:tcPr>
          <w:p>
            <w:pPr>
              <w:overflowPunct w:val="0"/>
              <w:adjustRightInd w:val="0"/>
              <w:spacing w:line="600" w:lineRule="exact"/>
              <w:ind w:firstLine="199" w:firstLineChars="95"/>
              <w:jc w:val="left"/>
              <w:rPr>
                <w:rFonts w:ascii="仿宋" w:hAnsi="仿宋" w:eastAsia="仿宋" w:cs="仿宋"/>
                <w:sz w:val="21"/>
                <w:szCs w:val="21"/>
              </w:rPr>
            </w:pPr>
            <w:r>
              <w:rPr>
                <w:rFonts w:hint="eastAsia" w:ascii="仿宋" w:hAnsi="仿宋" w:eastAsia="仿宋" w:cs="仿宋"/>
                <w:sz w:val="21"/>
                <w:szCs w:val="21"/>
              </w:rPr>
              <w:t>财经应用文写作</w:t>
            </w:r>
          </w:p>
        </w:tc>
        <w:tc>
          <w:tcPr>
            <w:tcW w:w="4536" w:type="dxa"/>
            <w:vAlign w:val="center"/>
          </w:tcPr>
          <w:p>
            <w:pPr>
              <w:overflowPunct w:val="0"/>
              <w:adjustRightInd w:val="0"/>
              <w:spacing w:line="276" w:lineRule="auto"/>
              <w:ind w:firstLine="420"/>
              <w:jc w:val="left"/>
              <w:rPr>
                <w:rFonts w:ascii="仿宋" w:hAnsi="仿宋" w:eastAsia="仿宋" w:cs="仿宋"/>
                <w:sz w:val="21"/>
                <w:szCs w:val="21"/>
              </w:rPr>
            </w:pPr>
            <w:r>
              <w:rPr>
                <w:rFonts w:hint="eastAsia" w:ascii="仿宋" w:hAnsi="仿宋" w:eastAsia="仿宋" w:cs="仿宋"/>
                <w:sz w:val="21"/>
                <w:szCs w:val="21"/>
              </w:rPr>
              <w:t>本课程是一门理论知识和写作训练并重的旨在培养写作习惯的逐渐养成以及从技能训练中得以提高多种能力的偏理论认知性专业课程。此课程是财经类相关专业的专业基础课程，财经应用文是财经专业在日常生活、学习、职业工作和公务活动中经常使用的，有着直接社会效用的文书，它是人们交流思想、互通情报、解决问题、处理公务的工具。课程教学以学习性工作任务为载体，以职业通用能力为核心，全面培养学生的职业素质。为学生将来参加专业相关工作，满足社会对财经应用文写作日益迫切的需求做准备。</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闭卷考试</w:t>
            </w:r>
          </w:p>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2268" w:type="dxa"/>
            <w:vAlign w:val="center"/>
          </w:tcPr>
          <w:p>
            <w:pPr>
              <w:overflowPunct w:val="0"/>
              <w:adjustRightInd w:val="0"/>
              <w:spacing w:line="600" w:lineRule="exact"/>
              <w:ind w:firstLine="409" w:firstLineChars="195"/>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管理学基础</w:t>
            </w:r>
          </w:p>
        </w:tc>
        <w:tc>
          <w:tcPr>
            <w:tcW w:w="4536" w:type="dxa"/>
            <w:vAlign w:val="center"/>
          </w:tcPr>
          <w:p>
            <w:pPr>
              <w:overflowPunct w:val="0"/>
              <w:adjustRightInd w:val="0"/>
              <w:spacing w:line="276" w:lineRule="auto"/>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管理学基础课程是管理学类各个专业的一门专业基础课程，也是金融类专业拓展课之一。通过对管理理论的演进、领导职能、控制职能、计划职能、组织职能等内容的学习，使我专业学生能掌握管理学的基本理论，了解管理活动过程中的主要工作内容以及基本原理与方法，为学习其他专业课程和开展科学研究打下基础。</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2268" w:type="dxa"/>
            <w:vAlign w:val="center"/>
          </w:tcPr>
          <w:p>
            <w:pPr>
              <w:overflowPunct w:val="0"/>
              <w:adjustRightIn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Python程序设计</w:t>
            </w:r>
          </w:p>
        </w:tc>
        <w:tc>
          <w:tcPr>
            <w:tcW w:w="4536" w:type="dxa"/>
            <w:vAlign w:val="center"/>
          </w:tcPr>
          <w:p>
            <w:pPr>
              <w:overflowPunct w:val="0"/>
              <w:adjustRightInd w:val="0"/>
              <w:spacing w:line="276" w:lineRule="auto"/>
              <w:ind w:firstLine="420" w:firstLineChars="200"/>
              <w:jc w:val="left"/>
              <w:rPr>
                <w:rFonts w:hint="eastAsia" w:ascii="仿宋" w:hAnsi="仿宋" w:eastAsia="仿宋" w:cs="仿宋"/>
                <w:sz w:val="21"/>
                <w:szCs w:val="21"/>
              </w:rPr>
            </w:pPr>
            <w:r>
              <w:rPr>
                <w:rFonts w:ascii="仿宋" w:hAnsi="仿宋" w:eastAsia="仿宋" w:cs="仿宋"/>
                <w:sz w:val="21"/>
                <w:szCs w:val="21"/>
              </w:rPr>
              <w:t>本课程内容包括Python语言及其编程环境概述、基本语法、基本流程控制、元组列表字典等特征数据类型及操作、文件、函数、面向对象的程序设计、tkinter图形化界面设计、图形绘制、正则表达式的应用、数据库操作和基于第三方库的应用举例。</w:t>
            </w:r>
          </w:p>
        </w:tc>
        <w:tc>
          <w:tcPr>
            <w:tcW w:w="1695" w:type="dxa"/>
            <w:vAlign w:val="center"/>
          </w:tcPr>
          <w:p>
            <w:pPr>
              <w:overflowPunct w:val="0"/>
              <w:adjustRightInd w:val="0"/>
              <w:spacing w:line="240" w:lineRule="auto"/>
              <w:ind w:firstLine="199" w:firstLineChars="95"/>
              <w:jc w:val="center"/>
              <w:rPr>
                <w:rFonts w:ascii="仿宋" w:hAnsi="仿宋" w:eastAsia="仿宋" w:cs="仿宋"/>
                <w:sz w:val="21"/>
                <w:szCs w:val="21"/>
              </w:rPr>
            </w:pPr>
            <w:r>
              <w:rPr>
                <w:rFonts w:hint="eastAsia" w:ascii="仿宋" w:hAnsi="仿宋" w:eastAsia="仿宋" w:cs="仿宋"/>
                <w:sz w:val="21"/>
                <w:szCs w:val="21"/>
              </w:rPr>
              <w:t>项目考核</w:t>
            </w:r>
          </w:p>
          <w:p>
            <w:pPr>
              <w:overflowPunct w:val="0"/>
              <w:adjustRightInd w:val="0"/>
              <w:spacing w:line="240" w:lineRule="auto"/>
              <w:ind w:firstLine="199" w:firstLineChars="95"/>
              <w:jc w:val="center"/>
              <w:rPr>
                <w:rFonts w:hint="eastAsia" w:ascii="仿宋" w:hAnsi="仿宋" w:eastAsia="仿宋" w:cs="仿宋"/>
                <w:sz w:val="21"/>
                <w:szCs w:val="21"/>
              </w:rPr>
            </w:pPr>
            <w:r>
              <w:rPr>
                <w:rFonts w:hint="eastAsia" w:ascii="仿宋" w:hAnsi="仿宋" w:eastAsia="仿宋" w:cs="仿宋"/>
                <w:sz w:val="21"/>
                <w:szCs w:val="21"/>
              </w:rPr>
              <w:t>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2268" w:type="dxa"/>
            <w:vAlign w:val="center"/>
          </w:tcPr>
          <w:p>
            <w:pPr>
              <w:overflowPunct w:val="0"/>
              <w:adjustRightIn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highlight w:val="none"/>
              </w:rPr>
              <w:t>新媒体营销与策划</w:t>
            </w:r>
          </w:p>
        </w:tc>
        <w:tc>
          <w:tcPr>
            <w:tcW w:w="4536" w:type="dxa"/>
            <w:vAlign w:val="center"/>
          </w:tcPr>
          <w:p>
            <w:pPr>
              <w:overflowPunct w:val="0"/>
              <w:adjustRightInd w:val="0"/>
              <w:spacing w:line="324" w:lineRule="auto"/>
              <w:ind w:firstLine="420"/>
              <w:jc w:val="left"/>
              <w:rPr>
                <w:rFonts w:ascii="仿宋" w:hAnsi="仿宋" w:eastAsia="仿宋" w:cs="仿宋"/>
                <w:sz w:val="21"/>
                <w:szCs w:val="21"/>
              </w:rPr>
            </w:pPr>
            <w:r>
              <w:rPr>
                <w:rFonts w:hint="eastAsia" w:ascii="仿宋" w:hAnsi="仿宋" w:eastAsia="仿宋" w:cs="仿宋"/>
                <w:sz w:val="21"/>
                <w:szCs w:val="21"/>
              </w:rPr>
              <w:t>该课程主要培养会策划新媒体营销方案，会综合运用各种新媒体平台开展新媒体营销活动。本课程主要通过新媒体营销专员的岗位工作流程和要求来进行设计，课程内容以金融产品实际需求为基础，在教学过程中，学生无法接触到真实的新媒体营销企业环境，就由教师提前设计好虚拟的产品背景，和对新媒体营销的要求，由学生自已搜集素材，教师指导学生进行创作完成。通过本课程的学习学生掌握利用新媒体平台进行金融产品营销的基本方法和技巧。以微博、微信、抖音、快手等新媒体平台为基础，借助图片、视频编辑软件的运用，能够熟练撰写新媒体营销策划文案并进行实施。整个教学过程以实战操练为主，教师提供新媒体营销项目背景、素材和基本要求，学生根据提供的基本资料基础之上发挥</w:t>
            </w:r>
          </w:p>
          <w:p>
            <w:pPr>
              <w:overflowPunct w:val="0"/>
              <w:adjustRightInd w:val="0"/>
              <w:spacing w:line="276"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创意，撰写新媒体营销策划方案并进行实施。</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项目考核</w:t>
            </w:r>
          </w:p>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成果评审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overflowPunct w:val="0"/>
              <w:adjustRightInd w:val="0"/>
              <w:spacing w:line="600" w:lineRule="exact"/>
              <w:ind w:firstLine="149" w:firstLineChars="7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2268" w:type="dxa"/>
            <w:vAlign w:val="center"/>
          </w:tcPr>
          <w:p>
            <w:pPr>
              <w:overflowPunct w:val="0"/>
              <w:adjustRightInd w:val="0"/>
              <w:spacing w:line="240" w:lineRule="auto"/>
              <w:ind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国际金融</w:t>
            </w:r>
          </w:p>
        </w:tc>
        <w:tc>
          <w:tcPr>
            <w:tcW w:w="4536" w:type="dxa"/>
            <w:vAlign w:val="center"/>
          </w:tcPr>
          <w:p>
            <w:pPr>
              <w:overflowPunct w:val="0"/>
              <w:adjustRightInd w:val="0"/>
              <w:spacing w:line="276" w:lineRule="auto"/>
              <w:ind w:firstLine="420" w:firstLineChars="200"/>
              <w:jc w:val="left"/>
              <w:rPr>
                <w:rFonts w:hint="eastAsia" w:ascii="仿宋" w:hAnsi="仿宋" w:eastAsia="仿宋" w:cs="仿宋"/>
                <w:sz w:val="21"/>
                <w:szCs w:val="21"/>
              </w:rPr>
            </w:pPr>
            <w:r>
              <w:rPr>
                <w:rFonts w:hint="eastAsia" w:ascii="仿宋" w:hAnsi="仿宋" w:eastAsia="仿宋" w:cs="仿宋"/>
                <w:kern w:val="2"/>
                <w:sz w:val="21"/>
                <w:szCs w:val="21"/>
              </w:rPr>
              <w:t>国际金融是金融学专业的专业主干课程，也是财经类专业的核心课程。通过该课程的学习，使学生提高对开放经济的认识，理解一国内部均衡与外部均衡的相互关系，系统而扎实地掌握外汇与汇率、国际收支、国际储备、国际金融市场、国际货币体系等基本理论和基本原理；掌握国际投融资、外汇交易和国际结算的基本技能以及防范外汇风险、利率风险的技巧；了解我国涉外金融工作的方针、政策和法规，并能理论联系实际，提高分析、解决实际问题的能力，为进一步学习其他经济、金融类专业课程打好基础，进而实现为我国培养具有国际视野的高素质、应用型、创新型人才的培养目标。</w:t>
            </w:r>
          </w:p>
        </w:tc>
        <w:tc>
          <w:tcPr>
            <w:tcW w:w="1695" w:type="dxa"/>
            <w:vAlign w:val="center"/>
          </w:tcPr>
          <w:p>
            <w:pPr>
              <w:overflowPunct w:val="0"/>
              <w:adjustRightInd w:val="0"/>
              <w:spacing w:line="240" w:lineRule="auto"/>
              <w:ind w:firstLine="199" w:firstLineChars="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闭卷考试</w:t>
            </w:r>
          </w:p>
        </w:tc>
      </w:tr>
    </w:tbl>
    <w:p>
      <w:pPr>
        <w:overflowPunct w:val="0"/>
        <w:adjustRightInd w:val="0"/>
        <w:spacing w:line="600" w:lineRule="exact"/>
        <w:ind w:firstLine="560"/>
        <w:rPr>
          <w:rFonts w:hint="eastAsia" w:ascii="仿宋" w:hAnsi="仿宋" w:eastAsia="仿宋" w:cs="仿宋"/>
          <w:color w:val="auto"/>
          <w:sz w:val="28"/>
          <w:szCs w:val="28"/>
        </w:rPr>
      </w:pPr>
    </w:p>
    <w:p>
      <w:pPr>
        <w:overflowPunct w:val="0"/>
        <w:adjustRightInd w:val="0"/>
        <w:spacing w:line="6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（4）实践性环节</w:t>
      </w:r>
    </w:p>
    <w:p>
      <w:pPr>
        <w:overflowPunct w:val="0"/>
        <w:adjustRightInd w:val="0"/>
        <w:spacing w:line="600" w:lineRule="exact"/>
        <w:ind w:firstLine="600"/>
        <w:rPr>
          <w:rFonts w:hint="eastAsia" w:ascii="仿宋" w:hAnsi="仿宋" w:eastAsia="仿宋" w:cs="仿宋"/>
          <w:color w:val="0070C0"/>
          <w:sz w:val="28"/>
          <w:szCs w:val="28"/>
          <w:highlight w:val="none"/>
        </w:rPr>
      </w:pPr>
      <w:r>
        <w:rPr>
          <w:rFonts w:hint="eastAsia" w:ascii="仿宋" w:hAnsi="仿宋" w:eastAsia="仿宋" w:cs="仿宋"/>
          <w:sz w:val="28"/>
          <w:szCs w:val="28"/>
        </w:rPr>
        <w:t>主要包括实训、实习、毕业设计、</w:t>
      </w:r>
      <w:r>
        <w:rPr>
          <w:rFonts w:hint="eastAsia" w:ascii="仿宋" w:hAnsi="仿宋" w:eastAsia="仿宋" w:cs="仿宋"/>
          <w:sz w:val="28"/>
          <w:szCs w:val="28"/>
          <w:lang w:eastAsia="zh-CN"/>
        </w:rPr>
        <w:t>岗位</w:t>
      </w:r>
      <w:r>
        <w:rPr>
          <w:rFonts w:hint="eastAsia" w:ascii="仿宋" w:hAnsi="仿宋" w:eastAsia="仿宋" w:cs="仿宋"/>
          <w:sz w:val="28"/>
          <w:szCs w:val="28"/>
        </w:rPr>
        <w:t>实习、</w:t>
      </w:r>
      <w:r>
        <w:rPr>
          <w:rFonts w:hint="eastAsia" w:ascii="仿宋" w:hAnsi="仿宋" w:eastAsia="仿宋" w:cs="仿宋"/>
          <w:sz w:val="28"/>
          <w:szCs w:val="28"/>
          <w:lang w:eastAsia="zh-CN"/>
        </w:rPr>
        <w:t>毕业</w:t>
      </w:r>
      <w:r>
        <w:rPr>
          <w:rFonts w:hint="eastAsia" w:ascii="仿宋" w:hAnsi="仿宋" w:eastAsia="仿宋" w:cs="仿宋"/>
          <w:sz w:val="28"/>
          <w:szCs w:val="28"/>
        </w:rPr>
        <w:t>实习等。实训可在校内实训室、校外实训基地等开展完成；</w:t>
      </w:r>
      <w:r>
        <w:rPr>
          <w:rFonts w:hint="eastAsia" w:ascii="仿宋" w:hAnsi="仿宋" w:eastAsia="仿宋" w:cs="仿宋"/>
          <w:sz w:val="28"/>
          <w:szCs w:val="28"/>
          <w:lang w:eastAsia="zh-CN"/>
        </w:rPr>
        <w:t>岗位</w:t>
      </w:r>
      <w:r>
        <w:rPr>
          <w:rFonts w:hint="eastAsia" w:ascii="仿宋" w:hAnsi="仿宋" w:eastAsia="仿宋" w:cs="仿宋"/>
          <w:sz w:val="28"/>
          <w:szCs w:val="28"/>
        </w:rPr>
        <w:t>实习、</w:t>
      </w:r>
      <w:r>
        <w:rPr>
          <w:rFonts w:hint="eastAsia" w:ascii="仿宋" w:hAnsi="仿宋" w:eastAsia="仿宋" w:cs="仿宋"/>
          <w:sz w:val="28"/>
          <w:szCs w:val="28"/>
          <w:lang w:eastAsia="zh-CN"/>
        </w:rPr>
        <w:t>毕业</w:t>
      </w:r>
      <w:r>
        <w:rPr>
          <w:rFonts w:hint="eastAsia" w:ascii="仿宋" w:hAnsi="仿宋" w:eastAsia="仿宋" w:cs="仿宋"/>
          <w:sz w:val="28"/>
          <w:szCs w:val="28"/>
        </w:rPr>
        <w:t>实习由学校组织在校企合作共建的金融机构实习基地开展完成，实习实训教学主要有：金融营销实训、金融数据统计实训、证券投资实训、个人理财实训、金融科技应用平台与产品实训、毕业设计与</w:t>
      </w:r>
      <w:r>
        <w:rPr>
          <w:rFonts w:hint="eastAsia" w:ascii="仿宋" w:hAnsi="仿宋" w:eastAsia="仿宋" w:cs="仿宋"/>
          <w:sz w:val="28"/>
          <w:szCs w:val="28"/>
          <w:lang w:eastAsia="zh-CN"/>
        </w:rPr>
        <w:t>毕业</w:t>
      </w:r>
      <w:r>
        <w:rPr>
          <w:rFonts w:hint="eastAsia" w:ascii="仿宋" w:hAnsi="仿宋" w:eastAsia="仿宋" w:cs="仿宋"/>
          <w:sz w:val="28"/>
          <w:szCs w:val="28"/>
        </w:rPr>
        <w:t>实习等。</w:t>
      </w:r>
      <w:r>
        <w:rPr>
          <w:rFonts w:hint="eastAsia" w:ascii="仿宋" w:hAnsi="仿宋" w:eastAsia="仿宋" w:cs="仿宋"/>
          <w:sz w:val="28"/>
          <w:szCs w:val="28"/>
          <w:lang w:eastAsia="zh-CN"/>
        </w:rPr>
        <w:t>岗位</w:t>
      </w:r>
      <w:r>
        <w:rPr>
          <w:rFonts w:hint="eastAsia" w:ascii="仿宋" w:hAnsi="仿宋" w:eastAsia="仿宋" w:cs="仿宋"/>
          <w:sz w:val="28"/>
          <w:szCs w:val="28"/>
        </w:rPr>
        <w:t>实习要严格执行《职业学校学生实习管理规定》和专业顶岗实习标准的有关要求。实训实习既是实践性教学，也是专业课教学的重要内容，应注重理论与实践一体化教学。</w:t>
      </w:r>
    </w:p>
    <w:p>
      <w:pPr>
        <w:spacing w:line="576" w:lineRule="exact"/>
        <w:ind w:firstLine="640"/>
        <w:jc w:val="left"/>
        <w:rPr>
          <w:rFonts w:ascii="黑体" w:hAnsi="黑体" w:eastAsia="黑体" w:cs="仿宋_GB2312"/>
          <w:sz w:val="32"/>
          <w:szCs w:val="32"/>
          <w:highlight w:val="none"/>
        </w:rPr>
      </w:pPr>
      <w:r>
        <w:rPr>
          <w:rFonts w:hint="eastAsia" w:ascii="黑体" w:hAnsi="黑体" w:eastAsia="黑体" w:cs="仿宋_GB2312"/>
          <w:sz w:val="32"/>
          <w:szCs w:val="32"/>
          <w:highlight w:val="none"/>
        </w:rPr>
        <w:t>七、教学进程总体安排</w:t>
      </w:r>
    </w:p>
    <w:p>
      <w:pPr>
        <w:pStyle w:val="8"/>
        <w:ind w:firstLine="640"/>
        <w:rPr>
          <w:rFonts w:hint="eastAsia" w:ascii="楷体" w:hAnsi="楷体" w:eastAsia="楷体" w:cs="仿宋"/>
          <w:kern w:val="0"/>
          <w:sz w:val="32"/>
          <w:highlight w:val="none"/>
        </w:rPr>
      </w:pPr>
      <w:r>
        <w:rPr>
          <w:rFonts w:hint="eastAsia" w:ascii="楷体" w:hAnsi="楷体" w:eastAsia="楷体" w:cs="仿宋"/>
          <w:kern w:val="0"/>
          <w:sz w:val="32"/>
          <w:highlight w:val="none"/>
        </w:rPr>
        <w:t>（一）课程设置与学时安排表</w:t>
      </w:r>
    </w:p>
    <w:p>
      <w:pPr>
        <w:ind w:left="0" w:leftChars="0" w:firstLine="0" w:firstLineChars="0"/>
        <w:rPr>
          <w:rFonts w:hint="eastAsia" w:ascii="楷体" w:hAnsi="楷体" w:eastAsia="楷体" w:cs="仿宋"/>
          <w:kern w:val="0"/>
          <w:sz w:val="32"/>
          <w:highlight w:val="none"/>
        </w:rPr>
      </w:pPr>
    </w:p>
    <w:tbl>
      <w:tblPr>
        <w:tblStyle w:val="12"/>
        <w:tblW w:w="10421" w:type="dxa"/>
        <w:jc w:val="center"/>
        <w:tblLayout w:type="fixed"/>
        <w:tblCellMar>
          <w:top w:w="15" w:type="dxa"/>
          <w:left w:w="15" w:type="dxa"/>
          <w:bottom w:w="15" w:type="dxa"/>
          <w:right w:w="15" w:type="dxa"/>
        </w:tblCellMar>
      </w:tblPr>
      <w:tblGrid>
        <w:gridCol w:w="1154"/>
        <w:gridCol w:w="1083"/>
        <w:gridCol w:w="684"/>
        <w:gridCol w:w="1016"/>
        <w:gridCol w:w="934"/>
        <w:gridCol w:w="1066"/>
        <w:gridCol w:w="950"/>
        <w:gridCol w:w="800"/>
        <w:gridCol w:w="934"/>
        <w:gridCol w:w="733"/>
        <w:gridCol w:w="1067"/>
      </w:tblGrid>
      <w:tr>
        <w:tblPrEx>
          <w:tblCellMar>
            <w:top w:w="15" w:type="dxa"/>
            <w:left w:w="15" w:type="dxa"/>
            <w:bottom w:w="15" w:type="dxa"/>
            <w:right w:w="15" w:type="dxa"/>
          </w:tblCellMar>
        </w:tblPrEx>
        <w:trPr>
          <w:trHeight w:val="90" w:hRule="atLeast"/>
          <w:jc w:val="center"/>
        </w:trPr>
        <w:tc>
          <w:tcPr>
            <w:tcW w:w="10421" w:type="dxa"/>
            <w:gridSpan w:val="11"/>
            <w:tcBorders>
              <w:top w:val="nil"/>
              <w:left w:val="nil"/>
              <w:bottom w:val="single" w:color="auto" w:sz="4" w:space="0"/>
              <w:right w:val="nil"/>
            </w:tcBorders>
            <w:vAlign w:val="center"/>
          </w:tcPr>
          <w:p>
            <w:pPr>
              <w:widowControl/>
              <w:spacing w:after="156" w:afterLines="50" w:line="240" w:lineRule="auto"/>
              <w:ind w:firstLine="0" w:firstLineChars="0"/>
              <w:jc w:val="center"/>
              <w:textAlignment w:val="center"/>
              <w:rPr>
                <w:rFonts w:ascii="仿宋" w:hAnsi="仿宋" w:eastAsia="仿宋" w:cs="仿宋"/>
                <w:b/>
                <w:sz w:val="22"/>
                <w:szCs w:val="22"/>
                <w:highlight w:val="none"/>
              </w:rPr>
            </w:pPr>
            <w:r>
              <w:rPr>
                <w:rFonts w:hint="eastAsia" w:ascii="仿宋" w:hAnsi="仿宋" w:eastAsia="仿宋" w:cs="仿宋"/>
                <w:b/>
                <w:kern w:val="0"/>
                <w:sz w:val="22"/>
                <w:szCs w:val="22"/>
                <w:highlight w:val="none"/>
              </w:rPr>
              <w:t>表1.课程设置与学时安排表</w:t>
            </w:r>
          </w:p>
        </w:tc>
      </w:tr>
      <w:tr>
        <w:tblPrEx>
          <w:tblCellMar>
            <w:top w:w="15" w:type="dxa"/>
            <w:left w:w="15" w:type="dxa"/>
            <w:bottom w:w="15" w:type="dxa"/>
            <w:right w:w="15" w:type="dxa"/>
          </w:tblCellMar>
        </w:tblPrEx>
        <w:trPr>
          <w:trHeight w:val="90" w:hRule="atLeast"/>
          <w:jc w:val="center"/>
        </w:trPr>
        <w:tc>
          <w:tcPr>
            <w:tcW w:w="2237" w:type="dxa"/>
            <w:gridSpan w:val="2"/>
            <w:vMerge w:val="restart"/>
            <w:tcBorders>
              <w:top w:val="single" w:color="auto" w:sz="4" w:space="0"/>
              <w:left w:val="single" w:color="auto" w:sz="4" w:space="0"/>
              <w:right w:val="single" w:color="auto" w:sz="4" w:space="0"/>
              <w:tl2br w:val="single" w:color="000000" w:sz="4" w:space="0"/>
            </w:tcBorders>
            <w:vAlign w:val="center"/>
          </w:tcPr>
          <w:p>
            <w:pPr>
              <w:widowControl/>
              <w:spacing w:line="240" w:lineRule="auto"/>
              <w:ind w:firstLine="1800" w:firstLineChars="1000"/>
              <w:jc w:val="left"/>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分配情况</w:t>
            </w:r>
          </w:p>
          <w:p>
            <w:pPr>
              <w:spacing w:line="240" w:lineRule="auto"/>
              <w:ind w:firstLine="180" w:firstLineChars="100"/>
              <w:jc w:val="left"/>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课程性质及属性</w:t>
            </w:r>
          </w:p>
        </w:tc>
        <w:tc>
          <w:tcPr>
            <w:tcW w:w="6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课程门数</w:t>
            </w:r>
          </w:p>
        </w:tc>
        <w:tc>
          <w:tcPr>
            <w:tcW w:w="396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分配学时</w:t>
            </w:r>
          </w:p>
        </w:tc>
        <w:tc>
          <w:tcPr>
            <w:tcW w:w="17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其中：选修课</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学分</w:t>
            </w:r>
          </w:p>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分配</w:t>
            </w:r>
            <w:r>
              <w:rPr>
                <w:rFonts w:hint="eastAsia" w:ascii="仿宋" w:hAnsi="仿宋" w:eastAsia="仿宋" w:cs="仿宋"/>
                <w:sz w:val="18"/>
                <w:szCs w:val="18"/>
                <w:highlight w:val="none"/>
              </w:rPr>
              <w:t>　</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占总学</w:t>
            </w:r>
          </w:p>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分比例</w:t>
            </w:r>
          </w:p>
        </w:tc>
      </w:tr>
      <w:tr>
        <w:tblPrEx>
          <w:tblCellMar>
            <w:top w:w="15" w:type="dxa"/>
            <w:left w:w="15" w:type="dxa"/>
            <w:bottom w:w="15" w:type="dxa"/>
            <w:right w:w="15" w:type="dxa"/>
          </w:tblCellMar>
        </w:tblPrEx>
        <w:trPr>
          <w:trHeight w:val="467" w:hRule="atLeast"/>
          <w:jc w:val="center"/>
        </w:trPr>
        <w:tc>
          <w:tcPr>
            <w:tcW w:w="2237" w:type="dxa"/>
            <w:gridSpan w:val="2"/>
            <w:vMerge w:val="continue"/>
            <w:tcBorders>
              <w:left w:val="single" w:color="auto" w:sz="4" w:space="0"/>
              <w:bottom w:val="single" w:color="auto" w:sz="4" w:space="0"/>
              <w:right w:val="single" w:color="auto" w:sz="4" w:space="0"/>
              <w:tl2br w:val="single" w:color="000000" w:sz="4" w:space="0"/>
            </w:tcBorders>
            <w:vAlign w:val="center"/>
          </w:tcPr>
          <w:p>
            <w:pPr>
              <w:widowControl/>
              <w:spacing w:line="240" w:lineRule="auto"/>
              <w:ind w:firstLine="0" w:firstLineChars="0"/>
              <w:jc w:val="left"/>
              <w:textAlignment w:val="center"/>
              <w:rPr>
                <w:rFonts w:ascii="仿宋" w:hAnsi="仿宋" w:eastAsia="仿宋" w:cs="仿宋"/>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理论</w:t>
            </w:r>
          </w:p>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学时</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实践</w:t>
            </w:r>
          </w:p>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学时</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小计</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占总学</w:t>
            </w:r>
          </w:p>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时比例</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学时</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占总学时比例　</w:t>
            </w: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r>
      <w:tr>
        <w:tblPrEx>
          <w:tblCellMar>
            <w:top w:w="15" w:type="dxa"/>
            <w:left w:w="15" w:type="dxa"/>
            <w:bottom w:w="15" w:type="dxa"/>
            <w:right w:w="15" w:type="dxa"/>
          </w:tblCellMar>
        </w:tblPrEx>
        <w:trPr>
          <w:trHeight w:val="567"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公共课程</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公共必修课</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16</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412</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168</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580</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21.67%</w:t>
            </w:r>
          </w:p>
        </w:tc>
        <w:tc>
          <w:tcPr>
            <w:tcW w:w="80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34</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24.46%</w:t>
            </w:r>
          </w:p>
        </w:tc>
      </w:tr>
      <w:tr>
        <w:tblPrEx>
          <w:tblCellMar>
            <w:top w:w="15" w:type="dxa"/>
            <w:left w:w="15" w:type="dxa"/>
            <w:bottom w:w="15" w:type="dxa"/>
            <w:right w:w="15" w:type="dxa"/>
          </w:tblCellMar>
        </w:tblPrEx>
        <w:trPr>
          <w:trHeight w:val="567"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公共选修课</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hint="default" w:ascii="仿宋" w:hAnsi="仿宋" w:eastAsia="仿宋" w:cs="仿宋"/>
                <w:kern w:val="0"/>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88</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8</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hint="default" w:ascii="仿宋" w:hAnsi="仿宋" w:eastAsia="仿宋" w:cs="仿宋"/>
                <w:kern w:val="0"/>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96</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3.59%</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96</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3.59%</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6</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4.32%</w:t>
            </w:r>
          </w:p>
        </w:tc>
      </w:tr>
      <w:tr>
        <w:tblPrEx>
          <w:tblCellMar>
            <w:top w:w="15" w:type="dxa"/>
            <w:left w:w="15" w:type="dxa"/>
            <w:bottom w:w="15" w:type="dxa"/>
            <w:right w:w="15" w:type="dxa"/>
          </w:tblCellMar>
        </w:tblPrEx>
        <w:trPr>
          <w:trHeight w:val="567"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专业课程</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专业基础课</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7</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322</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78</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400</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14.95%</w:t>
            </w:r>
          </w:p>
        </w:tc>
        <w:tc>
          <w:tcPr>
            <w:tcW w:w="80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17.99%</w:t>
            </w:r>
          </w:p>
        </w:tc>
      </w:tr>
      <w:tr>
        <w:tblPrEx>
          <w:tblCellMar>
            <w:top w:w="15" w:type="dxa"/>
            <w:left w:w="15" w:type="dxa"/>
            <w:bottom w:w="15" w:type="dxa"/>
            <w:right w:w="15" w:type="dxa"/>
          </w:tblCellMar>
        </w:tblPrEx>
        <w:trPr>
          <w:trHeight w:val="567"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专业技能课</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8</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266</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198</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464</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17.34%</w:t>
            </w:r>
          </w:p>
        </w:tc>
        <w:tc>
          <w:tcPr>
            <w:tcW w:w="80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30</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21.58%</w:t>
            </w:r>
          </w:p>
        </w:tc>
      </w:tr>
      <w:tr>
        <w:trPr>
          <w:trHeight w:val="567"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专业选修课</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64</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64</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128</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4.78%</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128</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4.78%</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8</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5.76%</w:t>
            </w:r>
          </w:p>
        </w:tc>
      </w:tr>
      <w:tr>
        <w:tblPrEx>
          <w:tblCellMar>
            <w:top w:w="15" w:type="dxa"/>
            <w:left w:w="15" w:type="dxa"/>
            <w:bottom w:w="15" w:type="dxa"/>
            <w:right w:w="15" w:type="dxa"/>
          </w:tblCellMar>
        </w:tblPrEx>
        <w:trPr>
          <w:trHeight w:val="567" w:hRule="atLeast"/>
          <w:jc w:val="center"/>
        </w:trPr>
        <w:tc>
          <w:tcPr>
            <w:tcW w:w="223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集中实践</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5</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16</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992</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1008</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37.67%</w:t>
            </w:r>
          </w:p>
        </w:tc>
        <w:tc>
          <w:tcPr>
            <w:tcW w:w="80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36</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25.90%</w:t>
            </w:r>
          </w:p>
        </w:tc>
      </w:tr>
      <w:tr>
        <w:tblPrEx>
          <w:tblCellMar>
            <w:top w:w="15" w:type="dxa"/>
            <w:left w:w="15" w:type="dxa"/>
            <w:bottom w:w="15" w:type="dxa"/>
            <w:right w:w="15" w:type="dxa"/>
          </w:tblCellMar>
        </w:tblPrEx>
        <w:trPr>
          <w:trHeight w:val="567" w:hRule="atLeast"/>
          <w:jc w:val="center"/>
        </w:trPr>
        <w:tc>
          <w:tcPr>
            <w:tcW w:w="223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kern w:val="0"/>
                <w:sz w:val="18"/>
                <w:szCs w:val="18"/>
                <w:highlight w:val="none"/>
              </w:rPr>
              <w:t>合计</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44</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1168</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1508</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2676</w:t>
            </w:r>
          </w:p>
        </w:tc>
        <w:tc>
          <w:tcPr>
            <w:tcW w:w="95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224</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8.37%</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139</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100.00%</w:t>
            </w:r>
          </w:p>
        </w:tc>
      </w:tr>
      <w:tr>
        <w:tblPrEx>
          <w:tblCellMar>
            <w:top w:w="15" w:type="dxa"/>
            <w:left w:w="15" w:type="dxa"/>
            <w:bottom w:w="15" w:type="dxa"/>
            <w:right w:w="15" w:type="dxa"/>
          </w:tblCellMar>
        </w:tblPrEx>
        <w:trPr>
          <w:trHeight w:val="567" w:hRule="atLeast"/>
          <w:jc w:val="center"/>
        </w:trPr>
        <w:tc>
          <w:tcPr>
            <w:tcW w:w="292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占总学时比例</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43.65%</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56.35%</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both"/>
              <w:textAlignment w:val="center"/>
              <w:rPr>
                <w:rFonts w:ascii="仿宋" w:hAnsi="仿宋" w:eastAsia="仿宋" w:cs="仿宋"/>
                <w:kern w:val="0"/>
                <w:sz w:val="18"/>
                <w:szCs w:val="18"/>
                <w:highlight w:val="none"/>
              </w:rPr>
            </w:pPr>
            <w:r>
              <w:rPr>
                <w:rFonts w:hint="eastAsia" w:ascii="仿宋" w:hAnsi="仿宋" w:eastAsia="仿宋" w:cs="仿宋"/>
                <w:i w:val="0"/>
                <w:iCs w:val="0"/>
                <w:color w:val="000000"/>
                <w:kern w:val="0"/>
                <w:sz w:val="18"/>
                <w:szCs w:val="18"/>
                <w:u w:val="none"/>
                <w:lang w:val="en-US" w:eastAsia="zh-CN" w:bidi="ar"/>
              </w:rPr>
              <w:t>100.00%</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highlight w:val="none"/>
              </w:rPr>
            </w:pPr>
          </w:p>
        </w:tc>
      </w:tr>
    </w:tbl>
    <w:p>
      <w:pPr>
        <w:pStyle w:val="8"/>
        <w:ind w:firstLine="640"/>
        <w:rPr>
          <w:rFonts w:ascii="楷体" w:hAnsi="楷体" w:eastAsia="楷体" w:cs="仿宋"/>
          <w:kern w:val="0"/>
          <w:sz w:val="32"/>
          <w:highlight w:val="none"/>
        </w:rPr>
      </w:pPr>
      <w:r>
        <w:rPr>
          <w:rFonts w:hint="eastAsia" w:ascii="楷体" w:hAnsi="楷体" w:eastAsia="楷体" w:cs="仿宋"/>
          <w:kern w:val="0"/>
          <w:sz w:val="32"/>
          <w:highlight w:val="none"/>
        </w:rPr>
        <w:t>（二）教学环节周数分配表</w:t>
      </w:r>
    </w:p>
    <w:p>
      <w:pPr>
        <w:pStyle w:val="2"/>
        <w:ind w:firstLine="442"/>
        <w:jc w:val="center"/>
        <w:rPr>
          <w:rFonts w:ascii="仿宋" w:hAnsi="仿宋" w:eastAsia="仿宋"/>
          <w:b/>
          <w:bCs/>
          <w:sz w:val="28"/>
          <w:szCs w:val="28"/>
          <w:highlight w:val="none"/>
        </w:rPr>
      </w:pPr>
      <w:r>
        <w:rPr>
          <w:rFonts w:hint="eastAsia" w:ascii="仿宋" w:hAnsi="仿宋" w:eastAsia="仿宋" w:cs="仿宋"/>
          <w:b/>
          <w:kern w:val="0"/>
          <w:sz w:val="22"/>
          <w:szCs w:val="22"/>
          <w:highlight w:val="none"/>
        </w:rPr>
        <w:t>表</w:t>
      </w:r>
      <w:r>
        <w:rPr>
          <w:rFonts w:ascii="仿宋" w:hAnsi="仿宋" w:eastAsia="仿宋" w:cs="仿宋"/>
          <w:b/>
          <w:kern w:val="0"/>
          <w:sz w:val="22"/>
          <w:szCs w:val="22"/>
          <w:highlight w:val="none"/>
        </w:rPr>
        <w:t>2</w:t>
      </w:r>
      <w:r>
        <w:rPr>
          <w:rFonts w:hint="eastAsia" w:ascii="仿宋" w:hAnsi="仿宋" w:eastAsia="仿宋" w:cs="仿宋"/>
          <w:b/>
          <w:kern w:val="0"/>
          <w:sz w:val="22"/>
          <w:szCs w:val="22"/>
          <w:highlight w:val="none"/>
        </w:rPr>
        <w:t>.教学环节周数分配表</w:t>
      </w:r>
    </w:p>
    <w:tbl>
      <w:tblPr>
        <w:tblStyle w:val="12"/>
        <w:tblW w:w="0" w:type="auto"/>
        <w:jc w:val="center"/>
        <w:tblLayout w:type="fixed"/>
        <w:tblCellMar>
          <w:top w:w="0" w:type="dxa"/>
          <w:left w:w="0" w:type="dxa"/>
          <w:bottom w:w="0" w:type="dxa"/>
          <w:right w:w="0" w:type="dxa"/>
        </w:tblCellMar>
      </w:tblPr>
      <w:tblGrid>
        <w:gridCol w:w="800"/>
        <w:gridCol w:w="968"/>
        <w:gridCol w:w="966"/>
        <w:gridCol w:w="966"/>
        <w:gridCol w:w="773"/>
        <w:gridCol w:w="867"/>
        <w:gridCol w:w="678"/>
        <w:gridCol w:w="779"/>
        <w:gridCol w:w="2386"/>
      </w:tblGrid>
      <w:tr>
        <w:tblPrEx>
          <w:tblCellMar>
            <w:top w:w="0" w:type="dxa"/>
            <w:left w:w="0" w:type="dxa"/>
            <w:bottom w:w="0" w:type="dxa"/>
            <w:right w:w="0" w:type="dxa"/>
          </w:tblCellMar>
        </w:tblPrEx>
        <w:trPr>
          <w:trHeight w:val="163" w:hRule="atLeast"/>
          <w:jc w:val="center"/>
        </w:trPr>
        <w:tc>
          <w:tcPr>
            <w:tcW w:w="800"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学年</w:t>
            </w:r>
          </w:p>
        </w:tc>
        <w:tc>
          <w:tcPr>
            <w:tcW w:w="968"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学期</w:t>
            </w:r>
          </w:p>
        </w:tc>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总周数</w:t>
            </w:r>
          </w:p>
        </w:tc>
        <w:tc>
          <w:tcPr>
            <w:tcW w:w="966" w:type="dxa"/>
            <w:vMerge w:val="restart"/>
            <w:tcBorders>
              <w:top w:val="single" w:color="000000" w:sz="8" w:space="0"/>
              <w:left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教学</w:t>
            </w:r>
          </w:p>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总周数</w:t>
            </w:r>
          </w:p>
        </w:tc>
        <w:tc>
          <w:tcPr>
            <w:tcW w:w="3097" w:type="dxa"/>
            <w:gridSpan w:val="4"/>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教学活动</w:t>
            </w:r>
          </w:p>
        </w:tc>
        <w:tc>
          <w:tcPr>
            <w:tcW w:w="2386" w:type="dxa"/>
            <w:vMerge w:val="restart"/>
            <w:tcBorders>
              <w:top w:val="single" w:color="000000" w:sz="8" w:space="0"/>
              <w:left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寒暑假</w:t>
            </w:r>
          </w:p>
        </w:tc>
      </w:tr>
      <w:tr>
        <w:tblPrEx>
          <w:tblCellMar>
            <w:top w:w="0" w:type="dxa"/>
            <w:left w:w="0" w:type="dxa"/>
            <w:bottom w:w="0" w:type="dxa"/>
            <w:right w:w="0" w:type="dxa"/>
          </w:tblCellMar>
        </w:tblPrEx>
        <w:trPr>
          <w:trHeight w:val="257" w:hRule="atLeast"/>
          <w:jc w:val="center"/>
        </w:trPr>
        <w:tc>
          <w:tcPr>
            <w:tcW w:w="800"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8"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6" w:type="dxa"/>
            <w:vMerge w:val="continue"/>
            <w:tcBorders>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773"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理论</w:t>
            </w:r>
          </w:p>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教学</w:t>
            </w:r>
          </w:p>
        </w:tc>
        <w:tc>
          <w:tcPr>
            <w:tcW w:w="867"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实践</w:t>
            </w:r>
          </w:p>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教学</w:t>
            </w:r>
          </w:p>
        </w:tc>
        <w:tc>
          <w:tcPr>
            <w:tcW w:w="67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复习</w:t>
            </w:r>
          </w:p>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考试</w:t>
            </w:r>
          </w:p>
        </w:tc>
        <w:tc>
          <w:tcPr>
            <w:tcW w:w="77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
                <w:sz w:val="18"/>
                <w:szCs w:val="18"/>
                <w:highlight w:val="none"/>
              </w:rPr>
            </w:pPr>
            <w:r>
              <w:rPr>
                <w:rFonts w:hint="eastAsia" w:ascii="宋体" w:hAnsi="宋体" w:cs="宋体"/>
                <w:b/>
                <w:sz w:val="18"/>
                <w:szCs w:val="18"/>
                <w:highlight w:val="none"/>
              </w:rPr>
              <w:t>机动</w:t>
            </w:r>
          </w:p>
        </w:tc>
        <w:tc>
          <w:tcPr>
            <w:tcW w:w="238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240" w:lineRule="auto"/>
              <w:ind w:firstLine="0" w:firstLineChars="0"/>
              <w:jc w:val="center"/>
              <w:rPr>
                <w:rFonts w:ascii="宋体" w:hAnsi="宋体" w:cs="宋体"/>
                <w:bCs/>
                <w:sz w:val="18"/>
                <w:szCs w:val="18"/>
                <w:highlight w:val="none"/>
              </w:rPr>
            </w:pPr>
          </w:p>
        </w:tc>
      </w:tr>
      <w:tr>
        <w:tblPrEx>
          <w:tblCellMar>
            <w:top w:w="0" w:type="dxa"/>
            <w:left w:w="0" w:type="dxa"/>
            <w:bottom w:w="0" w:type="dxa"/>
            <w:right w:w="0" w:type="dxa"/>
          </w:tblCellMar>
        </w:tblPrEx>
        <w:trPr>
          <w:trHeight w:val="567" w:hRule="atLeast"/>
          <w:jc w:val="center"/>
        </w:trPr>
        <w:tc>
          <w:tcPr>
            <w:tcW w:w="800"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一</w:t>
            </w:r>
          </w:p>
        </w:tc>
        <w:tc>
          <w:tcPr>
            <w:tcW w:w="96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一</w:t>
            </w:r>
          </w:p>
        </w:tc>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52</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16</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2</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5</w:t>
            </w:r>
          </w:p>
        </w:tc>
      </w:tr>
      <w:tr>
        <w:tblPrEx>
          <w:tblCellMar>
            <w:top w:w="0" w:type="dxa"/>
            <w:left w:w="0" w:type="dxa"/>
            <w:bottom w:w="0" w:type="dxa"/>
            <w:right w:w="0" w:type="dxa"/>
          </w:tblCellMar>
        </w:tblPrEx>
        <w:trPr>
          <w:trHeight w:val="567" w:hRule="atLeast"/>
          <w:jc w:val="center"/>
        </w:trPr>
        <w:tc>
          <w:tcPr>
            <w:tcW w:w="800"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二</w:t>
            </w:r>
          </w:p>
        </w:tc>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18</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0</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7</w:t>
            </w:r>
          </w:p>
        </w:tc>
      </w:tr>
      <w:tr>
        <w:tblPrEx>
          <w:tblCellMar>
            <w:top w:w="0" w:type="dxa"/>
            <w:left w:w="0" w:type="dxa"/>
            <w:bottom w:w="0" w:type="dxa"/>
            <w:right w:w="0" w:type="dxa"/>
          </w:tblCellMar>
        </w:tblPrEx>
        <w:trPr>
          <w:trHeight w:val="567" w:hRule="atLeast"/>
          <w:jc w:val="center"/>
        </w:trPr>
        <w:tc>
          <w:tcPr>
            <w:tcW w:w="800"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二</w:t>
            </w:r>
          </w:p>
        </w:tc>
        <w:tc>
          <w:tcPr>
            <w:tcW w:w="96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三</w:t>
            </w:r>
          </w:p>
        </w:tc>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52</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18</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0</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5</w:t>
            </w:r>
          </w:p>
        </w:tc>
      </w:tr>
      <w:tr>
        <w:tblPrEx>
          <w:tblCellMar>
            <w:top w:w="0" w:type="dxa"/>
            <w:left w:w="0" w:type="dxa"/>
            <w:bottom w:w="0" w:type="dxa"/>
            <w:right w:w="0" w:type="dxa"/>
          </w:tblCellMar>
        </w:tblPrEx>
        <w:trPr>
          <w:trHeight w:val="567" w:hRule="atLeast"/>
          <w:jc w:val="center"/>
        </w:trPr>
        <w:tc>
          <w:tcPr>
            <w:tcW w:w="800"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8" w:type="dxa"/>
            <w:tcBorders>
              <w:top w:val="single" w:color="000000" w:sz="8" w:space="0"/>
              <w:left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四</w:t>
            </w:r>
          </w:p>
        </w:tc>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6" w:type="dxa"/>
            <w:tcBorders>
              <w:top w:val="single" w:color="000000" w:sz="8" w:space="0"/>
              <w:left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18</w:t>
            </w:r>
          </w:p>
        </w:tc>
        <w:tc>
          <w:tcPr>
            <w:tcW w:w="867"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0</w:t>
            </w:r>
          </w:p>
        </w:tc>
        <w:tc>
          <w:tcPr>
            <w:tcW w:w="678"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7</w:t>
            </w:r>
          </w:p>
        </w:tc>
      </w:tr>
      <w:tr>
        <w:tblPrEx>
          <w:tblCellMar>
            <w:top w:w="0" w:type="dxa"/>
            <w:left w:w="0" w:type="dxa"/>
            <w:bottom w:w="0" w:type="dxa"/>
            <w:right w:w="0" w:type="dxa"/>
          </w:tblCellMar>
        </w:tblPrEx>
        <w:trPr>
          <w:trHeight w:val="567" w:hRule="atLeast"/>
          <w:jc w:val="center"/>
        </w:trPr>
        <w:tc>
          <w:tcPr>
            <w:tcW w:w="800"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三</w:t>
            </w:r>
          </w:p>
        </w:tc>
        <w:tc>
          <w:tcPr>
            <w:tcW w:w="96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五</w:t>
            </w:r>
          </w:p>
        </w:tc>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45</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11</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7</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5</w:t>
            </w:r>
          </w:p>
        </w:tc>
      </w:tr>
      <w:tr>
        <w:tblPrEx>
          <w:tblCellMar>
            <w:top w:w="0" w:type="dxa"/>
            <w:left w:w="0" w:type="dxa"/>
            <w:bottom w:w="0" w:type="dxa"/>
            <w:right w:w="0" w:type="dxa"/>
          </w:tblCellMar>
        </w:tblPrEx>
        <w:trPr>
          <w:trHeight w:val="567" w:hRule="atLeast"/>
          <w:jc w:val="center"/>
        </w:trPr>
        <w:tc>
          <w:tcPr>
            <w:tcW w:w="800"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8"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六</w:t>
            </w:r>
          </w:p>
        </w:tc>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0</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18</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0</w:t>
            </w:r>
          </w:p>
        </w:tc>
      </w:tr>
      <w:tr>
        <w:tblPrEx>
          <w:tblCellMar>
            <w:top w:w="0" w:type="dxa"/>
            <w:left w:w="0" w:type="dxa"/>
            <w:bottom w:w="0" w:type="dxa"/>
            <w:right w:w="0" w:type="dxa"/>
          </w:tblCellMar>
        </w:tblPrEx>
        <w:trPr>
          <w:trHeight w:val="567" w:hRule="atLeast"/>
          <w:jc w:val="center"/>
        </w:trPr>
        <w:tc>
          <w:tcPr>
            <w:tcW w:w="1768"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合计</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14</w:t>
            </w:r>
            <w:r>
              <w:rPr>
                <w:rFonts w:ascii="宋体" w:hAnsi="宋体" w:cs="宋体"/>
                <w:bCs/>
                <w:sz w:val="18"/>
                <w:szCs w:val="18"/>
                <w:highlight w:val="none"/>
              </w:rPr>
              <w:t>9</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hint="eastAsia" w:ascii="宋体" w:hAnsi="宋体" w:cs="宋体"/>
                <w:bCs/>
                <w:sz w:val="18"/>
                <w:szCs w:val="18"/>
                <w:highlight w:val="none"/>
              </w:rPr>
              <w:t>1</w:t>
            </w:r>
            <w:r>
              <w:rPr>
                <w:rFonts w:ascii="宋体" w:hAnsi="宋体" w:cs="宋体"/>
                <w:bCs/>
                <w:sz w:val="18"/>
                <w:szCs w:val="18"/>
                <w:highlight w:val="none"/>
              </w:rPr>
              <w:t>20</w:t>
            </w:r>
          </w:p>
        </w:tc>
        <w:tc>
          <w:tcPr>
            <w:tcW w:w="773"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83</w:t>
            </w:r>
          </w:p>
        </w:tc>
        <w:tc>
          <w:tcPr>
            <w:tcW w:w="867"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25</w:t>
            </w:r>
          </w:p>
        </w:tc>
        <w:tc>
          <w:tcPr>
            <w:tcW w:w="678"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6</w:t>
            </w:r>
          </w:p>
        </w:tc>
        <w:tc>
          <w:tcPr>
            <w:tcW w:w="779"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6</w:t>
            </w:r>
          </w:p>
        </w:tc>
        <w:tc>
          <w:tcPr>
            <w:tcW w:w="2386"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pPr>
              <w:spacing w:line="240" w:lineRule="auto"/>
              <w:ind w:firstLine="0" w:firstLineChars="0"/>
              <w:jc w:val="center"/>
              <w:rPr>
                <w:rFonts w:ascii="宋体" w:hAnsi="宋体" w:cs="宋体"/>
                <w:bCs/>
                <w:sz w:val="18"/>
                <w:szCs w:val="18"/>
                <w:highlight w:val="none"/>
              </w:rPr>
            </w:pPr>
            <w:r>
              <w:rPr>
                <w:rFonts w:ascii="宋体" w:hAnsi="宋体" w:cs="宋体"/>
                <w:bCs/>
                <w:sz w:val="18"/>
                <w:szCs w:val="18"/>
                <w:highlight w:val="none"/>
              </w:rPr>
              <w:t>29</w:t>
            </w:r>
          </w:p>
        </w:tc>
      </w:tr>
    </w:tbl>
    <w:p>
      <w:pPr>
        <w:widowControl/>
        <w:ind w:firstLine="600"/>
        <w:rPr>
          <w:rFonts w:hint="eastAsia" w:ascii="宋体" w:hAnsi="宋体" w:cs="仿宋_GB2312"/>
          <w:kern w:val="0"/>
          <w:szCs w:val="21"/>
        </w:rPr>
      </w:pPr>
      <w:r>
        <w:rPr>
          <w:rFonts w:hint="eastAsia" w:ascii="宋体" w:hAnsi="宋体" w:cs="仿宋_GB2312"/>
          <w:kern w:val="0"/>
          <w:szCs w:val="21"/>
        </w:rPr>
        <w:t>教学总周数=理论教学+实践教学+复习考试+机动</w:t>
      </w:r>
    </w:p>
    <w:p>
      <w:pPr>
        <w:pStyle w:val="8"/>
        <w:numPr>
          <w:ilvl w:val="0"/>
          <w:numId w:val="2"/>
        </w:numPr>
        <w:ind w:firstLine="640"/>
        <w:rPr>
          <w:rFonts w:hint="eastAsia" w:ascii="楷体" w:hAnsi="楷体" w:eastAsia="楷体" w:cs="仿宋"/>
          <w:kern w:val="0"/>
          <w:sz w:val="32"/>
          <w:highlight w:val="none"/>
        </w:rPr>
      </w:pPr>
      <w:r>
        <w:rPr>
          <w:rFonts w:hint="eastAsia" w:ascii="楷体" w:hAnsi="楷体" w:eastAsia="楷体" w:cs="仿宋"/>
          <w:kern w:val="0"/>
          <w:sz w:val="32"/>
          <w:highlight w:val="none"/>
        </w:rPr>
        <w:t>班级学期教学周进程总表</w:t>
      </w:r>
    </w:p>
    <w:p>
      <w:pPr>
        <w:jc w:val="center"/>
        <w:rPr>
          <w:rFonts w:hint="eastAsia"/>
          <w:highlight w:val="none"/>
        </w:rPr>
      </w:pPr>
      <w:r>
        <w:rPr>
          <w:rFonts w:hint="eastAsia" w:ascii="仿宋" w:hAnsi="仿宋" w:eastAsia="仿宋" w:cs="仿宋"/>
          <w:b/>
          <w:kern w:val="0"/>
          <w:sz w:val="22"/>
          <w:szCs w:val="22"/>
          <w:highlight w:val="none"/>
        </w:rPr>
        <w:t>表</w:t>
      </w:r>
      <w:r>
        <w:rPr>
          <w:rFonts w:ascii="仿宋" w:hAnsi="仿宋" w:eastAsia="仿宋" w:cs="仿宋"/>
          <w:b/>
          <w:kern w:val="0"/>
          <w:sz w:val="22"/>
          <w:szCs w:val="22"/>
          <w:highlight w:val="none"/>
        </w:rPr>
        <w:t>3</w:t>
      </w:r>
      <w:r>
        <w:rPr>
          <w:rFonts w:hint="eastAsia" w:ascii="仿宋" w:hAnsi="仿宋" w:eastAsia="仿宋" w:cs="仿宋"/>
          <w:b/>
          <w:kern w:val="0"/>
          <w:sz w:val="22"/>
          <w:szCs w:val="22"/>
          <w:highlight w:val="none"/>
        </w:rPr>
        <w:t>.班级学期教学周进程总表</w:t>
      </w:r>
    </w:p>
    <w:tbl>
      <w:tblPr>
        <w:tblStyle w:val="12"/>
        <w:tblW w:w="5000" w:type="pct"/>
        <w:tblInd w:w="0" w:type="dxa"/>
        <w:tblLayout w:type="autofit"/>
        <w:tblCellMar>
          <w:top w:w="0" w:type="dxa"/>
          <w:left w:w="108" w:type="dxa"/>
          <w:bottom w:w="0" w:type="dxa"/>
          <w:right w:w="108" w:type="dxa"/>
        </w:tblCellMar>
      </w:tblPr>
      <w:tblGrid>
        <w:gridCol w:w="638"/>
        <w:gridCol w:w="638"/>
        <w:gridCol w:w="366"/>
        <w:gridCol w:w="367"/>
        <w:gridCol w:w="367"/>
        <w:gridCol w:w="366"/>
        <w:gridCol w:w="366"/>
        <w:gridCol w:w="366"/>
        <w:gridCol w:w="366"/>
        <w:gridCol w:w="366"/>
        <w:gridCol w:w="366"/>
        <w:gridCol w:w="366"/>
        <w:gridCol w:w="366"/>
        <w:gridCol w:w="366"/>
        <w:gridCol w:w="366"/>
        <w:gridCol w:w="366"/>
        <w:gridCol w:w="366"/>
        <w:gridCol w:w="366"/>
        <w:gridCol w:w="366"/>
        <w:gridCol w:w="367"/>
        <w:gridCol w:w="366"/>
        <w:gridCol w:w="367"/>
        <w:gridCol w:w="574"/>
      </w:tblGrid>
      <w:tr>
        <w:tblPrEx>
          <w:tblCellMar>
            <w:top w:w="0" w:type="dxa"/>
            <w:left w:w="108" w:type="dxa"/>
            <w:bottom w:w="0" w:type="dxa"/>
            <w:right w:w="108" w:type="dxa"/>
          </w:tblCellMar>
        </w:tblPrEx>
        <w:trPr>
          <w:trHeight w:val="420" w:hRule="atLeast"/>
        </w:trPr>
        <w:tc>
          <w:tcPr>
            <w:tcW w:w="28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highlight w:val="none"/>
              </w:rPr>
            </w:pPr>
            <w:r>
              <w:rPr>
                <w:rFonts w:hint="eastAsia" w:ascii="仿宋" w:hAnsi="仿宋" w:eastAsia="仿宋" w:cs="仿宋"/>
                <w:b/>
                <w:bCs/>
                <w:color w:val="000000"/>
                <w:kern w:val="0"/>
                <w:sz w:val="21"/>
                <w:szCs w:val="21"/>
                <w:highlight w:val="none"/>
              </w:rPr>
              <w:t>学年</w:t>
            </w:r>
          </w:p>
        </w:tc>
        <w:tc>
          <w:tcPr>
            <w:tcW w:w="28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highlight w:val="none"/>
              </w:rPr>
            </w:pPr>
            <w:r>
              <w:rPr>
                <w:rFonts w:hint="eastAsia" w:ascii="仿宋" w:hAnsi="仿宋" w:eastAsia="仿宋" w:cs="仿宋"/>
                <w:b/>
                <w:bCs/>
                <w:color w:val="000000"/>
                <w:kern w:val="0"/>
                <w:sz w:val="21"/>
                <w:szCs w:val="21"/>
                <w:highlight w:val="none"/>
              </w:rPr>
              <w:t>学期</w:t>
            </w:r>
          </w:p>
        </w:tc>
        <w:tc>
          <w:tcPr>
            <w:tcW w:w="4034" w:type="pct"/>
            <w:gridSpan w:val="2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highlight w:val="none"/>
              </w:rPr>
            </w:pPr>
            <w:r>
              <w:rPr>
                <w:rFonts w:hint="eastAsia" w:ascii="仿宋" w:hAnsi="仿宋" w:eastAsia="仿宋" w:cs="仿宋"/>
                <w:b/>
                <w:bCs/>
                <w:color w:val="000000"/>
                <w:kern w:val="0"/>
                <w:sz w:val="21"/>
                <w:szCs w:val="21"/>
                <w:highlight w:val="none"/>
              </w:rPr>
              <w:t>教学周</w:t>
            </w:r>
          </w:p>
        </w:tc>
        <w:tc>
          <w:tcPr>
            <w:tcW w:w="40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kern w:val="0"/>
                <w:sz w:val="21"/>
                <w:szCs w:val="21"/>
                <w:highlight w:val="none"/>
              </w:rPr>
              <w:t>教学</w:t>
            </w:r>
          </w:p>
          <w:p>
            <w:pPr>
              <w:widowControl/>
              <w:spacing w:line="240" w:lineRule="auto"/>
              <w:ind w:firstLine="0" w:firstLineChars="0"/>
              <w:jc w:val="center"/>
              <w:rPr>
                <w:rFonts w:ascii="宋体" w:hAnsi="宋体" w:eastAsia="宋体" w:cs="宋体"/>
                <w:b/>
                <w:bCs/>
                <w:kern w:val="0"/>
                <w:sz w:val="15"/>
                <w:szCs w:val="15"/>
                <w:highlight w:val="none"/>
              </w:rPr>
            </w:pPr>
            <w:r>
              <w:rPr>
                <w:rFonts w:hint="eastAsia" w:ascii="仿宋" w:hAnsi="仿宋" w:eastAsia="仿宋" w:cs="仿宋"/>
                <w:b/>
                <w:bCs/>
                <w:color w:val="000000"/>
                <w:kern w:val="0"/>
                <w:sz w:val="21"/>
                <w:szCs w:val="21"/>
                <w:highlight w:val="none"/>
              </w:rPr>
              <w:t>周数</w:t>
            </w:r>
          </w:p>
        </w:tc>
      </w:tr>
      <w:tr>
        <w:tblPrEx>
          <w:tblCellMar>
            <w:top w:w="0" w:type="dxa"/>
            <w:left w:w="108" w:type="dxa"/>
            <w:bottom w:w="0" w:type="dxa"/>
            <w:right w:w="108" w:type="dxa"/>
          </w:tblCellMar>
        </w:tblPrEx>
        <w:trPr>
          <w:trHeight w:val="390"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kern w:val="0"/>
                <w:sz w:val="15"/>
                <w:szCs w:val="15"/>
                <w:highlight w:val="none"/>
              </w:rPr>
            </w:pPr>
          </w:p>
        </w:tc>
        <w:tc>
          <w:tcPr>
            <w:tcW w:w="2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kern w:val="0"/>
                <w:sz w:val="15"/>
                <w:szCs w:val="15"/>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2</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3</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4</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5</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6</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7</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8</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9</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10</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11</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12</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13</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14</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15</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16</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17</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18</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19</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20</w:t>
            </w:r>
          </w:p>
        </w:tc>
        <w:tc>
          <w:tcPr>
            <w:tcW w:w="401"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b/>
                <w:bCs/>
                <w:kern w:val="0"/>
                <w:sz w:val="15"/>
                <w:szCs w:val="15"/>
                <w:highlight w:val="none"/>
              </w:rPr>
            </w:pPr>
          </w:p>
        </w:tc>
      </w:tr>
      <w:tr>
        <w:tblPrEx>
          <w:tblCellMar>
            <w:top w:w="0" w:type="dxa"/>
            <w:left w:w="108" w:type="dxa"/>
            <w:bottom w:w="0" w:type="dxa"/>
            <w:right w:w="108" w:type="dxa"/>
          </w:tblCellMar>
        </w:tblPrEx>
        <w:trPr>
          <w:trHeight w:val="402" w:hRule="atLeast"/>
        </w:trPr>
        <w:tc>
          <w:tcPr>
            <w:tcW w:w="28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一</w:t>
            </w: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1</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rPr>
            </w:pPr>
            <w:r>
              <w:rPr>
                <w:rFonts w:hint="eastAsia" w:ascii="宋体" w:hAnsi="宋体" w:eastAsia="宋体" w:cs="宋体"/>
                <w:b/>
                <w:bCs/>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rPr>
            </w:pPr>
            <w:r>
              <w:rPr>
                <w:rFonts w:hint="eastAsia" w:ascii="宋体" w:hAnsi="宋体" w:eastAsia="宋体" w:cs="宋体"/>
                <w:b/>
                <w:bCs/>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402" w:hRule="atLeast"/>
        </w:trPr>
        <w:tc>
          <w:tcPr>
            <w:tcW w:w="28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15"/>
                <w:szCs w:val="15"/>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402" w:hRule="atLeast"/>
        </w:trPr>
        <w:tc>
          <w:tcPr>
            <w:tcW w:w="28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二</w:t>
            </w: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3</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402" w:hRule="atLeast"/>
        </w:trPr>
        <w:tc>
          <w:tcPr>
            <w:tcW w:w="28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15"/>
                <w:szCs w:val="15"/>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402" w:hRule="atLeast"/>
        </w:trPr>
        <w:tc>
          <w:tcPr>
            <w:tcW w:w="28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三</w:t>
            </w: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5</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402" w:hRule="atLeast"/>
        </w:trPr>
        <w:tc>
          <w:tcPr>
            <w:tcW w:w="28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15"/>
                <w:szCs w:val="15"/>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6</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15"/>
                <w:szCs w:val="15"/>
              </w:rPr>
            </w:pPr>
            <w:r>
              <w:rPr>
                <w:rFonts w:hint="eastAsia" w:ascii="宋体" w:hAnsi="宋体" w:eastAsia="宋体" w:cs="宋体"/>
                <w:b/>
                <w:bCs/>
                <w:kern w:val="0"/>
                <w:sz w:val="15"/>
                <w:szCs w:val="15"/>
              </w:rPr>
              <w:t>※</w:t>
            </w:r>
          </w:p>
        </w:tc>
        <w:tc>
          <w:tcPr>
            <w:tcW w:w="2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p>
        </w:tc>
        <w:tc>
          <w:tcPr>
            <w:tcW w:w="2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trHeight w:val="990" w:hRule="atLeast"/>
        </w:trPr>
        <w:tc>
          <w:tcPr>
            <w:tcW w:w="5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kern w:val="0"/>
                <w:sz w:val="15"/>
                <w:szCs w:val="15"/>
              </w:rPr>
            </w:pPr>
            <w:r>
              <w:rPr>
                <w:rFonts w:hint="eastAsia" w:ascii="宋体" w:hAnsi="宋体" w:eastAsia="宋体" w:cs="宋体"/>
                <w:b/>
                <w:kern w:val="0"/>
                <w:sz w:val="15"/>
                <w:szCs w:val="15"/>
              </w:rPr>
              <w:t>符 号</w:t>
            </w:r>
          </w:p>
        </w:tc>
        <w:tc>
          <w:tcPr>
            <w:tcW w:w="4435" w:type="pct"/>
            <w:gridSpan w:val="21"/>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15"/>
                <w:szCs w:val="15"/>
              </w:rPr>
            </w:pPr>
            <w:r>
              <w:rPr>
                <w:rFonts w:hint="eastAsia" w:ascii="宋体" w:hAnsi="宋体" w:eastAsia="宋体" w:cs="宋体"/>
                <w:kern w:val="0"/>
                <w:sz w:val="15"/>
                <w:szCs w:val="15"/>
              </w:rPr>
              <w:t xml:space="preserve">★入学教育， </w:t>
            </w:r>
            <w:r>
              <w:rPr>
                <w:rFonts w:hint="eastAsia" w:ascii="宋体" w:hAnsi="宋体" w:eastAsia="宋体" w:cs="宋体"/>
                <w:b/>
                <w:bCs/>
                <w:kern w:val="0"/>
                <w:sz w:val="15"/>
                <w:szCs w:val="15"/>
              </w:rPr>
              <w:t>§</w:t>
            </w:r>
            <w:r>
              <w:rPr>
                <w:rFonts w:hint="eastAsia" w:ascii="宋体" w:hAnsi="宋体" w:eastAsia="宋体" w:cs="宋体"/>
                <w:kern w:val="0"/>
                <w:sz w:val="15"/>
                <w:szCs w:val="15"/>
              </w:rPr>
              <w:t xml:space="preserve">军训， </w:t>
            </w:r>
            <w:r>
              <w:rPr>
                <w:rFonts w:hint="eastAsia" w:ascii="宋体" w:hAnsi="宋体" w:eastAsia="宋体" w:cs="宋体"/>
                <w:b/>
                <w:bCs/>
                <w:kern w:val="0"/>
                <w:sz w:val="15"/>
                <w:szCs w:val="15"/>
              </w:rPr>
              <w:t>―</w:t>
            </w:r>
            <w:r>
              <w:rPr>
                <w:rFonts w:hint="eastAsia" w:ascii="宋体" w:hAnsi="宋体" w:eastAsia="宋体" w:cs="宋体"/>
                <w:kern w:val="0"/>
                <w:sz w:val="15"/>
                <w:szCs w:val="15"/>
              </w:rPr>
              <w:t xml:space="preserve">分布式课程教学， 〓复习、考查、考试、阅卷， ○机动周， △校内集中通用技能训练， ▲校内岗位技能或拓展技能训练（或毕业设计）， ☆跟岗与顶岗实习动员， ◇跟岗实习， ◆顶岗实习， </w:t>
            </w:r>
            <w:r>
              <w:rPr>
                <w:rFonts w:hint="eastAsia" w:ascii="宋体" w:hAnsi="宋体" w:eastAsia="宋体" w:cs="宋体"/>
                <w:b/>
                <w:bCs/>
                <w:kern w:val="0"/>
                <w:sz w:val="15"/>
                <w:szCs w:val="15"/>
              </w:rPr>
              <w:t>※</w:t>
            </w:r>
            <w:r>
              <w:rPr>
                <w:rFonts w:hint="eastAsia" w:ascii="宋体" w:hAnsi="宋体" w:eastAsia="宋体" w:cs="宋体"/>
                <w:kern w:val="0"/>
                <w:sz w:val="15"/>
                <w:szCs w:val="15"/>
              </w:rPr>
              <w:t>毕业离校教育与手续。</w:t>
            </w:r>
          </w:p>
        </w:tc>
      </w:tr>
    </w:tbl>
    <w:p>
      <w:pPr>
        <w:spacing w:before="156" w:beforeLines="50" w:after="156" w:afterLines="50" w:line="400" w:lineRule="exact"/>
        <w:ind w:left="0" w:leftChars="0" w:firstLine="0" w:firstLineChars="0"/>
        <w:rPr>
          <w:rFonts w:ascii="仿宋" w:hAnsi="仿宋" w:eastAsia="仿宋" w:cs="仿宋"/>
          <w:b/>
          <w:bCs/>
          <w:kern w:val="0"/>
          <w:sz w:val="28"/>
          <w:szCs w:val="28"/>
        </w:rPr>
      </w:pPr>
    </w:p>
    <w:p>
      <w:pPr>
        <w:pStyle w:val="8"/>
        <w:ind w:firstLine="640"/>
        <w:rPr>
          <w:rFonts w:ascii="楷体" w:hAnsi="楷体" w:eastAsia="楷体" w:cs="仿宋"/>
          <w:kern w:val="0"/>
          <w:sz w:val="32"/>
        </w:rPr>
      </w:pPr>
      <w:r>
        <w:rPr>
          <w:rFonts w:hint="eastAsia" w:ascii="楷体" w:hAnsi="楷体" w:eastAsia="楷体" w:cs="仿宋"/>
          <w:kern w:val="0"/>
          <w:sz w:val="32"/>
          <w:highlight w:val="none"/>
        </w:rPr>
        <w:t>（四）职业资格证书与专业课程的对应</w:t>
      </w:r>
      <w:r>
        <w:rPr>
          <w:rFonts w:hint="eastAsia" w:ascii="楷体" w:hAnsi="楷体" w:eastAsia="楷体" w:cs="仿宋"/>
          <w:kern w:val="0"/>
          <w:sz w:val="32"/>
        </w:rPr>
        <w:t>关系</w:t>
      </w:r>
    </w:p>
    <w:tbl>
      <w:tblPr>
        <w:tblStyle w:val="12"/>
        <w:tblW w:w="92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12"/>
        <w:gridCol w:w="2506"/>
        <w:gridCol w:w="5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9222" w:type="dxa"/>
            <w:gridSpan w:val="3"/>
            <w:tcBorders>
              <w:top w:val="nil"/>
              <w:left w:val="nil"/>
              <w:bottom w:val="single" w:color="auto" w:sz="4" w:space="0"/>
              <w:right w:val="nil"/>
            </w:tcBorders>
            <w:vAlign w:val="center"/>
          </w:tcPr>
          <w:p>
            <w:pPr>
              <w:autoSpaceDN w:val="0"/>
              <w:spacing w:after="156" w:afterLines="50" w:line="400" w:lineRule="exact"/>
              <w:ind w:firstLine="442"/>
              <w:jc w:val="center"/>
              <w:textAlignment w:val="center"/>
              <w:rPr>
                <w:rFonts w:ascii="仿宋" w:hAnsi="仿宋" w:eastAsia="仿宋" w:cs="仿宋"/>
                <w:bCs/>
                <w:sz w:val="21"/>
                <w:szCs w:val="21"/>
              </w:rPr>
            </w:pPr>
            <w:r>
              <w:rPr>
                <w:rFonts w:hint="eastAsia" w:ascii="仿宋" w:hAnsi="仿宋" w:eastAsia="仿宋" w:cs="仿宋"/>
                <w:b/>
                <w:kern w:val="0"/>
                <w:sz w:val="22"/>
                <w:szCs w:val="22"/>
              </w:rPr>
              <w:t>表</w:t>
            </w:r>
            <w:r>
              <w:rPr>
                <w:rFonts w:ascii="仿宋" w:hAnsi="仿宋" w:eastAsia="仿宋" w:cs="仿宋"/>
                <w:b/>
                <w:kern w:val="0"/>
                <w:sz w:val="22"/>
                <w:szCs w:val="22"/>
              </w:rPr>
              <w:t>4</w:t>
            </w:r>
            <w:r>
              <w:rPr>
                <w:rFonts w:hint="eastAsia" w:ascii="仿宋" w:hAnsi="仿宋" w:eastAsia="仿宋" w:cs="仿宋"/>
                <w:b/>
                <w:kern w:val="0"/>
                <w:sz w:val="22"/>
                <w:szCs w:val="22"/>
              </w:rPr>
              <w:t>.职业资格证书与专业课程的对应表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12" w:type="dxa"/>
            <w:tcBorders>
              <w:top w:val="single" w:color="auto" w:sz="8" w:space="0"/>
              <w:left w:val="single" w:color="auto" w:sz="8" w:space="0"/>
              <w:bottom w:val="single" w:color="auto" w:sz="8" w:space="0"/>
              <w:right w:val="single" w:color="auto" w:sz="4" w:space="0"/>
            </w:tcBorders>
            <w:vAlign w:val="center"/>
          </w:tcPr>
          <w:p>
            <w:pPr>
              <w:autoSpaceDN w:val="0"/>
              <w:spacing w:line="400" w:lineRule="exact"/>
              <w:ind w:firstLine="0" w:firstLineChars="0"/>
              <w:jc w:val="center"/>
              <w:textAlignment w:val="center"/>
              <w:rPr>
                <w:rFonts w:ascii="仿宋" w:hAnsi="仿宋" w:eastAsia="仿宋" w:cs="仿宋"/>
                <w:bCs/>
                <w:sz w:val="21"/>
                <w:szCs w:val="21"/>
              </w:rPr>
            </w:pPr>
            <w:r>
              <w:rPr>
                <w:rFonts w:hint="eastAsia" w:ascii="仿宋" w:hAnsi="仿宋" w:eastAsia="仿宋" w:cs="仿宋"/>
                <w:bCs/>
                <w:sz w:val="21"/>
                <w:szCs w:val="21"/>
              </w:rPr>
              <w:t>1</w:t>
            </w:r>
          </w:p>
        </w:tc>
        <w:tc>
          <w:tcPr>
            <w:tcW w:w="2506" w:type="dxa"/>
            <w:tcBorders>
              <w:top w:val="single" w:color="auto" w:sz="8" w:space="0"/>
              <w:left w:val="single" w:color="auto" w:sz="4" w:space="0"/>
              <w:bottom w:val="single" w:color="auto" w:sz="8" w:space="0"/>
              <w:right w:val="single" w:color="auto" w:sz="4" w:space="0"/>
            </w:tcBorders>
            <w:vAlign w:val="center"/>
          </w:tcPr>
          <w:p>
            <w:pPr>
              <w:autoSpaceDN w:val="0"/>
              <w:spacing w:line="400" w:lineRule="exact"/>
              <w:ind w:firstLine="420"/>
              <w:jc w:val="center"/>
              <w:textAlignment w:val="center"/>
              <w:rPr>
                <w:rFonts w:ascii="仿宋" w:hAnsi="仿宋" w:eastAsia="仿宋" w:cs="仿宋"/>
                <w:bCs/>
                <w:sz w:val="21"/>
                <w:szCs w:val="21"/>
              </w:rPr>
            </w:pPr>
            <w:r>
              <w:rPr>
                <w:rFonts w:hint="eastAsia" w:ascii="楷体" w:hAnsi="楷体" w:eastAsia="楷体" w:cs="黑体"/>
                <w:bCs/>
                <w:sz w:val="21"/>
                <w:szCs w:val="21"/>
              </w:rPr>
              <w:t>银行业专业人员职业资格（初级）</w:t>
            </w:r>
          </w:p>
        </w:tc>
        <w:tc>
          <w:tcPr>
            <w:tcW w:w="5604" w:type="dxa"/>
            <w:tcBorders>
              <w:top w:val="single" w:color="auto" w:sz="8" w:space="0"/>
              <w:left w:val="single" w:color="auto" w:sz="4" w:space="0"/>
              <w:bottom w:val="single" w:color="auto" w:sz="8" w:space="0"/>
              <w:right w:val="single" w:color="auto" w:sz="8" w:space="0"/>
            </w:tcBorders>
            <w:vAlign w:val="center"/>
          </w:tcPr>
          <w:p>
            <w:pPr>
              <w:autoSpaceDN w:val="0"/>
              <w:spacing w:line="400" w:lineRule="exact"/>
              <w:ind w:firstLine="420"/>
              <w:textAlignment w:val="center"/>
              <w:rPr>
                <w:rFonts w:hint="eastAsia" w:ascii="仿宋" w:hAnsi="仿宋" w:eastAsia="楷体" w:cs="仿宋"/>
                <w:bCs/>
                <w:sz w:val="21"/>
                <w:szCs w:val="21"/>
                <w:lang w:eastAsia="zh-CN"/>
              </w:rPr>
            </w:pPr>
            <w:r>
              <w:rPr>
                <w:rFonts w:hint="eastAsia" w:ascii="楷体" w:hAnsi="楷体" w:eastAsia="楷体" w:cs="黑体"/>
                <w:bCs/>
                <w:sz w:val="21"/>
                <w:szCs w:val="21"/>
              </w:rPr>
              <w:t>个人理财、商业银行经营与管理</w:t>
            </w:r>
            <w:r>
              <w:rPr>
                <w:rFonts w:hint="eastAsia" w:ascii="楷体" w:hAnsi="楷体" w:eastAsia="楷体" w:cs="黑体"/>
                <w:bCs/>
                <w:sz w:val="21"/>
                <w:szCs w:val="21"/>
                <w:lang w:eastAsia="zh-CN"/>
              </w:rPr>
              <w:t>、经济法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2" w:type="dxa"/>
            <w:tcBorders>
              <w:top w:val="single" w:color="auto" w:sz="8" w:space="0"/>
              <w:left w:val="single" w:color="auto" w:sz="8" w:space="0"/>
              <w:bottom w:val="single" w:color="auto" w:sz="8" w:space="0"/>
              <w:right w:val="single" w:color="auto" w:sz="4" w:space="0"/>
            </w:tcBorders>
            <w:vAlign w:val="center"/>
          </w:tcPr>
          <w:p>
            <w:pPr>
              <w:autoSpaceDN w:val="0"/>
              <w:spacing w:line="400" w:lineRule="exact"/>
              <w:ind w:firstLine="0" w:firstLineChars="0"/>
              <w:jc w:val="center"/>
              <w:textAlignment w:val="center"/>
              <w:rPr>
                <w:rFonts w:ascii="仿宋" w:hAnsi="仿宋" w:eastAsia="仿宋" w:cs="仿宋"/>
                <w:bCs/>
                <w:sz w:val="21"/>
                <w:szCs w:val="21"/>
              </w:rPr>
            </w:pPr>
            <w:r>
              <w:rPr>
                <w:rFonts w:hint="eastAsia" w:ascii="仿宋" w:hAnsi="仿宋" w:eastAsia="仿宋" w:cs="仿宋"/>
                <w:bCs/>
                <w:sz w:val="21"/>
                <w:szCs w:val="21"/>
              </w:rPr>
              <w:t>2</w:t>
            </w:r>
          </w:p>
        </w:tc>
        <w:tc>
          <w:tcPr>
            <w:tcW w:w="2506" w:type="dxa"/>
            <w:tcBorders>
              <w:top w:val="single" w:color="auto" w:sz="8" w:space="0"/>
              <w:left w:val="single" w:color="auto" w:sz="4" w:space="0"/>
              <w:bottom w:val="single" w:color="auto" w:sz="8" w:space="0"/>
              <w:right w:val="single" w:color="auto" w:sz="4" w:space="0"/>
            </w:tcBorders>
            <w:vAlign w:val="center"/>
          </w:tcPr>
          <w:p>
            <w:pPr>
              <w:autoSpaceDN w:val="0"/>
              <w:spacing w:line="400" w:lineRule="exact"/>
              <w:ind w:firstLine="420"/>
              <w:jc w:val="center"/>
              <w:textAlignment w:val="center"/>
              <w:rPr>
                <w:rFonts w:ascii="楷体" w:hAnsi="楷体" w:eastAsia="楷体" w:cs="黑体"/>
                <w:bCs/>
                <w:sz w:val="21"/>
                <w:szCs w:val="21"/>
              </w:rPr>
            </w:pPr>
            <w:r>
              <w:rPr>
                <w:rFonts w:hint="eastAsia" w:ascii="楷体" w:hAnsi="楷体" w:eastAsia="楷体" w:cs="黑体"/>
                <w:bCs/>
                <w:sz w:val="21"/>
                <w:szCs w:val="21"/>
              </w:rPr>
              <w:t>期货基金从业人员资格</w:t>
            </w:r>
          </w:p>
        </w:tc>
        <w:tc>
          <w:tcPr>
            <w:tcW w:w="5604" w:type="dxa"/>
            <w:tcBorders>
              <w:top w:val="single" w:color="auto" w:sz="8" w:space="0"/>
              <w:left w:val="single" w:color="auto" w:sz="4" w:space="0"/>
              <w:bottom w:val="single" w:color="auto" w:sz="8" w:space="0"/>
              <w:right w:val="single" w:color="auto" w:sz="8" w:space="0"/>
            </w:tcBorders>
            <w:vAlign w:val="center"/>
          </w:tcPr>
          <w:p>
            <w:pPr>
              <w:autoSpaceDN w:val="0"/>
              <w:spacing w:line="400" w:lineRule="exact"/>
              <w:ind w:firstLine="420"/>
              <w:textAlignment w:val="center"/>
              <w:rPr>
                <w:rFonts w:ascii="楷体" w:hAnsi="楷体" w:eastAsia="楷体" w:cs="黑体"/>
                <w:bCs/>
                <w:sz w:val="21"/>
                <w:szCs w:val="21"/>
              </w:rPr>
            </w:pPr>
            <w:r>
              <w:rPr>
                <w:rFonts w:hint="eastAsia" w:ascii="楷体" w:hAnsi="楷体" w:eastAsia="楷体" w:cs="黑体"/>
                <w:bCs/>
                <w:sz w:val="21"/>
                <w:szCs w:val="21"/>
                <w:lang w:eastAsia="zh-CN"/>
              </w:rPr>
              <w:t>金融衍生品</w:t>
            </w:r>
            <w:r>
              <w:rPr>
                <w:rFonts w:hint="eastAsia" w:ascii="楷体" w:hAnsi="楷体" w:eastAsia="楷体" w:cs="黑体"/>
                <w:bCs/>
                <w:sz w:val="21"/>
                <w:szCs w:val="21"/>
              </w:rPr>
              <w:t>、智能证券投资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2" w:type="dxa"/>
            <w:tcBorders>
              <w:top w:val="single" w:color="auto" w:sz="8" w:space="0"/>
              <w:left w:val="single" w:color="auto" w:sz="8" w:space="0"/>
              <w:bottom w:val="single" w:color="auto" w:sz="8" w:space="0"/>
              <w:right w:val="single" w:color="auto" w:sz="4" w:space="0"/>
            </w:tcBorders>
            <w:vAlign w:val="center"/>
          </w:tcPr>
          <w:p>
            <w:pPr>
              <w:autoSpaceDN w:val="0"/>
              <w:spacing w:line="400" w:lineRule="exact"/>
              <w:ind w:firstLine="0" w:firstLineChars="0"/>
              <w:jc w:val="center"/>
              <w:textAlignment w:val="center"/>
              <w:rPr>
                <w:rFonts w:ascii="仿宋" w:hAnsi="仿宋" w:eastAsia="仿宋" w:cs="仿宋"/>
                <w:bCs/>
                <w:sz w:val="21"/>
                <w:szCs w:val="21"/>
              </w:rPr>
            </w:pPr>
            <w:r>
              <w:rPr>
                <w:rFonts w:hint="eastAsia" w:ascii="仿宋" w:hAnsi="仿宋" w:eastAsia="仿宋" w:cs="仿宋"/>
                <w:bCs/>
                <w:sz w:val="21"/>
                <w:szCs w:val="21"/>
              </w:rPr>
              <w:t>3</w:t>
            </w:r>
          </w:p>
        </w:tc>
        <w:tc>
          <w:tcPr>
            <w:tcW w:w="2506" w:type="dxa"/>
            <w:tcBorders>
              <w:top w:val="single" w:color="auto" w:sz="8" w:space="0"/>
              <w:left w:val="single" w:color="auto" w:sz="4" w:space="0"/>
              <w:bottom w:val="single" w:color="auto" w:sz="8" w:space="0"/>
              <w:right w:val="single" w:color="auto" w:sz="4" w:space="0"/>
            </w:tcBorders>
            <w:vAlign w:val="center"/>
          </w:tcPr>
          <w:p>
            <w:pPr>
              <w:autoSpaceDN w:val="0"/>
              <w:spacing w:line="400" w:lineRule="exact"/>
              <w:ind w:firstLine="420"/>
              <w:jc w:val="center"/>
              <w:textAlignment w:val="center"/>
              <w:rPr>
                <w:rFonts w:ascii="楷体" w:hAnsi="楷体" w:eastAsia="楷体" w:cs="黑体"/>
                <w:bCs/>
                <w:sz w:val="21"/>
                <w:szCs w:val="21"/>
              </w:rPr>
            </w:pPr>
            <w:r>
              <w:rPr>
                <w:rFonts w:hint="eastAsia" w:ascii="楷体" w:hAnsi="楷体" w:eastAsia="楷体" w:cs="黑体"/>
                <w:bCs/>
                <w:sz w:val="21"/>
                <w:szCs w:val="21"/>
              </w:rPr>
              <w:t>金融智能投顾初级证书</w:t>
            </w:r>
          </w:p>
        </w:tc>
        <w:tc>
          <w:tcPr>
            <w:tcW w:w="5604" w:type="dxa"/>
            <w:tcBorders>
              <w:top w:val="single" w:color="auto" w:sz="8" w:space="0"/>
              <w:left w:val="single" w:color="auto" w:sz="4" w:space="0"/>
              <w:bottom w:val="single" w:color="auto" w:sz="8" w:space="0"/>
              <w:right w:val="single" w:color="auto" w:sz="8" w:space="0"/>
            </w:tcBorders>
            <w:vAlign w:val="center"/>
          </w:tcPr>
          <w:p>
            <w:pPr>
              <w:autoSpaceDN w:val="0"/>
              <w:spacing w:line="400" w:lineRule="exact"/>
              <w:ind w:firstLine="420"/>
              <w:textAlignment w:val="center"/>
              <w:rPr>
                <w:rFonts w:ascii="楷体" w:hAnsi="楷体" w:eastAsia="楷体" w:cs="黑体"/>
                <w:bCs/>
                <w:sz w:val="21"/>
                <w:szCs w:val="21"/>
              </w:rPr>
            </w:pPr>
            <w:r>
              <w:rPr>
                <w:rFonts w:hint="eastAsia" w:ascii="楷体" w:hAnsi="楷体" w:eastAsia="楷体" w:cs="黑体"/>
                <w:bCs/>
                <w:sz w:val="21"/>
                <w:szCs w:val="21"/>
              </w:rPr>
              <w:t>智能证券投资、个人理财、金融营销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2" w:type="dxa"/>
            <w:tcBorders>
              <w:top w:val="single" w:color="auto" w:sz="8" w:space="0"/>
              <w:left w:val="single" w:color="auto" w:sz="8" w:space="0"/>
              <w:bottom w:val="single" w:color="auto" w:sz="8" w:space="0"/>
              <w:right w:val="single" w:color="auto" w:sz="4" w:space="0"/>
            </w:tcBorders>
            <w:vAlign w:val="center"/>
          </w:tcPr>
          <w:p>
            <w:pPr>
              <w:autoSpaceDN w:val="0"/>
              <w:spacing w:line="400" w:lineRule="exact"/>
              <w:ind w:firstLine="0" w:firstLineChars="0"/>
              <w:jc w:val="center"/>
              <w:textAlignment w:val="center"/>
              <w:rPr>
                <w:rFonts w:ascii="仿宋" w:hAnsi="仿宋" w:eastAsia="仿宋" w:cs="仿宋"/>
                <w:bCs/>
                <w:sz w:val="21"/>
                <w:szCs w:val="21"/>
              </w:rPr>
            </w:pPr>
            <w:r>
              <w:rPr>
                <w:rFonts w:hint="eastAsia" w:ascii="仿宋" w:hAnsi="仿宋" w:eastAsia="仿宋" w:cs="仿宋"/>
                <w:bCs/>
                <w:sz w:val="21"/>
                <w:szCs w:val="21"/>
              </w:rPr>
              <w:t>4</w:t>
            </w:r>
          </w:p>
        </w:tc>
        <w:tc>
          <w:tcPr>
            <w:tcW w:w="2506" w:type="dxa"/>
            <w:tcBorders>
              <w:top w:val="single" w:color="auto" w:sz="8" w:space="0"/>
              <w:left w:val="single" w:color="auto" w:sz="4" w:space="0"/>
              <w:bottom w:val="single" w:color="auto" w:sz="8" w:space="0"/>
              <w:right w:val="single" w:color="auto" w:sz="4" w:space="0"/>
            </w:tcBorders>
            <w:vAlign w:val="center"/>
          </w:tcPr>
          <w:p>
            <w:pPr>
              <w:autoSpaceDN w:val="0"/>
              <w:spacing w:line="400" w:lineRule="exact"/>
              <w:ind w:firstLine="420"/>
              <w:jc w:val="center"/>
              <w:textAlignment w:val="center"/>
              <w:rPr>
                <w:rFonts w:ascii="楷体" w:hAnsi="楷体" w:eastAsia="楷体" w:cs="黑体"/>
                <w:bCs/>
                <w:sz w:val="21"/>
                <w:szCs w:val="21"/>
              </w:rPr>
            </w:pPr>
            <w:r>
              <w:rPr>
                <w:rFonts w:hint="eastAsia" w:ascii="楷体" w:hAnsi="楷体" w:eastAsia="楷体" w:cs="黑体"/>
                <w:bCs/>
                <w:sz w:val="21"/>
                <w:szCs w:val="21"/>
              </w:rPr>
              <w:t>金融大数据处理初级证书</w:t>
            </w:r>
          </w:p>
        </w:tc>
        <w:tc>
          <w:tcPr>
            <w:tcW w:w="5604" w:type="dxa"/>
            <w:tcBorders>
              <w:top w:val="single" w:color="auto" w:sz="8" w:space="0"/>
              <w:left w:val="single" w:color="auto" w:sz="4" w:space="0"/>
              <w:bottom w:val="single" w:color="auto" w:sz="8" w:space="0"/>
              <w:right w:val="single" w:color="auto" w:sz="8" w:space="0"/>
            </w:tcBorders>
            <w:vAlign w:val="center"/>
          </w:tcPr>
          <w:p>
            <w:pPr>
              <w:autoSpaceDN w:val="0"/>
              <w:spacing w:line="400" w:lineRule="exact"/>
              <w:ind w:firstLine="420"/>
              <w:textAlignment w:val="center"/>
              <w:rPr>
                <w:rFonts w:ascii="楷体" w:hAnsi="楷体" w:eastAsia="楷体" w:cs="黑体"/>
                <w:bCs/>
                <w:sz w:val="21"/>
                <w:szCs w:val="21"/>
              </w:rPr>
            </w:pPr>
            <w:r>
              <w:rPr>
                <w:rFonts w:hint="eastAsia" w:ascii="楷体" w:hAnsi="楷体" w:eastAsia="楷体" w:cs="黑体"/>
                <w:bCs/>
                <w:sz w:val="21"/>
                <w:szCs w:val="21"/>
              </w:rPr>
              <w:t>金融大数据分析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12" w:type="dxa"/>
            <w:tcBorders>
              <w:top w:val="single" w:color="auto" w:sz="8" w:space="0"/>
              <w:left w:val="single" w:color="auto" w:sz="8" w:space="0"/>
              <w:bottom w:val="single" w:color="auto" w:sz="8" w:space="0"/>
              <w:right w:val="single" w:color="auto" w:sz="4" w:space="0"/>
            </w:tcBorders>
            <w:vAlign w:val="center"/>
          </w:tcPr>
          <w:p>
            <w:pPr>
              <w:autoSpaceDN w:val="0"/>
              <w:spacing w:line="400" w:lineRule="exact"/>
              <w:ind w:firstLine="0" w:firstLineChars="0"/>
              <w:jc w:val="center"/>
              <w:textAlignment w:val="center"/>
              <w:rPr>
                <w:rFonts w:ascii="仿宋" w:hAnsi="仿宋" w:eastAsia="仿宋" w:cs="仿宋"/>
                <w:bCs/>
                <w:sz w:val="21"/>
                <w:szCs w:val="21"/>
              </w:rPr>
            </w:pPr>
            <w:r>
              <w:rPr>
                <w:rFonts w:ascii="仿宋" w:hAnsi="仿宋" w:eastAsia="仿宋" w:cs="仿宋"/>
                <w:bCs/>
                <w:sz w:val="21"/>
                <w:szCs w:val="21"/>
              </w:rPr>
              <w:t>5</w:t>
            </w:r>
          </w:p>
        </w:tc>
        <w:tc>
          <w:tcPr>
            <w:tcW w:w="2506" w:type="dxa"/>
            <w:tcBorders>
              <w:top w:val="single" w:color="auto" w:sz="8" w:space="0"/>
              <w:left w:val="single" w:color="auto" w:sz="4" w:space="0"/>
              <w:bottom w:val="single" w:color="auto" w:sz="8" w:space="0"/>
              <w:right w:val="single" w:color="auto" w:sz="4" w:space="0"/>
            </w:tcBorders>
            <w:vAlign w:val="center"/>
          </w:tcPr>
          <w:p>
            <w:pPr>
              <w:autoSpaceDN w:val="0"/>
              <w:spacing w:line="400" w:lineRule="exact"/>
              <w:ind w:firstLine="420"/>
              <w:jc w:val="center"/>
              <w:textAlignment w:val="center"/>
              <w:rPr>
                <w:rFonts w:ascii="楷体" w:hAnsi="楷体" w:eastAsia="楷体" w:cs="黑体"/>
                <w:bCs/>
                <w:sz w:val="21"/>
                <w:szCs w:val="21"/>
              </w:rPr>
            </w:pPr>
            <w:r>
              <w:rPr>
                <w:rFonts w:hint="eastAsia" w:ascii="楷体" w:hAnsi="楷体" w:eastAsia="楷体" w:cs="黑体"/>
                <w:bCs/>
                <w:sz w:val="21"/>
                <w:szCs w:val="21"/>
              </w:rPr>
              <w:t>大数据财务分析初级证书</w:t>
            </w:r>
          </w:p>
        </w:tc>
        <w:tc>
          <w:tcPr>
            <w:tcW w:w="5604" w:type="dxa"/>
            <w:tcBorders>
              <w:top w:val="single" w:color="auto" w:sz="8" w:space="0"/>
              <w:left w:val="single" w:color="auto" w:sz="4" w:space="0"/>
              <w:bottom w:val="single" w:color="auto" w:sz="8" w:space="0"/>
              <w:right w:val="single" w:color="auto" w:sz="8" w:space="0"/>
            </w:tcBorders>
            <w:vAlign w:val="center"/>
          </w:tcPr>
          <w:p>
            <w:pPr>
              <w:autoSpaceDN w:val="0"/>
              <w:spacing w:line="400" w:lineRule="exact"/>
              <w:ind w:firstLine="420"/>
              <w:textAlignment w:val="center"/>
              <w:rPr>
                <w:rFonts w:ascii="楷体" w:hAnsi="楷体" w:eastAsia="楷体" w:cs="黑体"/>
                <w:bCs/>
                <w:sz w:val="21"/>
                <w:szCs w:val="21"/>
              </w:rPr>
            </w:pPr>
            <w:r>
              <w:rPr>
                <w:rFonts w:hint="eastAsia" w:ascii="楷体" w:hAnsi="楷体" w:eastAsia="楷体" w:cs="黑体"/>
                <w:bCs/>
                <w:sz w:val="21"/>
                <w:szCs w:val="21"/>
              </w:rPr>
              <w:t>会计基础、公司金融</w:t>
            </w:r>
          </w:p>
        </w:tc>
      </w:tr>
    </w:tbl>
    <w:p>
      <w:pPr>
        <w:pStyle w:val="8"/>
        <w:ind w:firstLine="640"/>
        <w:rPr>
          <w:rFonts w:ascii="楷体" w:hAnsi="楷体" w:eastAsia="楷体" w:cs="仿宋"/>
          <w:kern w:val="0"/>
          <w:sz w:val="32"/>
        </w:rPr>
      </w:pPr>
      <w:r>
        <w:rPr>
          <w:rFonts w:hint="eastAsia" w:ascii="楷体" w:hAnsi="楷体" w:eastAsia="楷体" w:cs="仿宋"/>
          <w:kern w:val="0"/>
          <w:sz w:val="32"/>
        </w:rPr>
        <w:t>（五）岗位能力对接课程分析表</w:t>
      </w:r>
    </w:p>
    <w:tbl>
      <w:tblPr>
        <w:tblStyle w:val="12"/>
        <w:tblpPr w:leftFromText="180" w:rightFromText="180" w:vertAnchor="text" w:horzAnchor="margin" w:tblpY="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2473"/>
        <w:gridCol w:w="2793"/>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tblHeader/>
        </w:trPr>
        <w:tc>
          <w:tcPr>
            <w:tcW w:w="9174" w:type="dxa"/>
            <w:gridSpan w:val="4"/>
            <w:tcBorders>
              <w:top w:val="nil"/>
              <w:left w:val="nil"/>
              <w:bottom w:val="single" w:color="auto" w:sz="4" w:space="0"/>
              <w:right w:val="nil"/>
            </w:tcBorders>
            <w:shd w:val="clear" w:color="auto" w:fill="FFFFFF" w:themeFill="background1"/>
            <w:vAlign w:val="center"/>
          </w:tcPr>
          <w:p>
            <w:pPr>
              <w:spacing w:after="156" w:afterLines="50"/>
              <w:ind w:firstLine="183" w:firstLineChars="83"/>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kern w:val="0"/>
                <w:sz w:val="22"/>
                <w:szCs w:val="22"/>
              </w:rPr>
              <w:t>表</w:t>
            </w:r>
            <w:r>
              <w:rPr>
                <w:rFonts w:ascii="仿宋" w:hAnsi="仿宋" w:eastAsia="仿宋" w:cs="仿宋"/>
                <w:b/>
                <w:kern w:val="0"/>
                <w:sz w:val="22"/>
                <w:szCs w:val="22"/>
              </w:rPr>
              <w:t>5</w:t>
            </w:r>
            <w:r>
              <w:rPr>
                <w:rFonts w:hint="eastAsia" w:ascii="仿宋" w:hAnsi="仿宋" w:eastAsia="仿宋" w:cs="仿宋"/>
                <w:b/>
                <w:kern w:val="0"/>
                <w:sz w:val="22"/>
                <w:szCs w:val="22"/>
              </w:rPr>
              <w:t>.岗位-典型任务-能力-课程对应表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tblHeader/>
        </w:trPr>
        <w:tc>
          <w:tcPr>
            <w:tcW w:w="1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210" w:firstLineChars="10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职业岗位</w:t>
            </w:r>
          </w:p>
        </w:tc>
        <w:tc>
          <w:tcPr>
            <w:tcW w:w="2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210" w:firstLineChars="10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典型工作任务</w:t>
            </w:r>
          </w:p>
        </w:tc>
        <w:tc>
          <w:tcPr>
            <w:tcW w:w="27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职业核心能力</w:t>
            </w:r>
          </w:p>
        </w:tc>
        <w:tc>
          <w:tcPr>
            <w:tcW w:w="22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174" w:firstLineChars="83"/>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支撑课程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rPr>
                <w:rFonts w:ascii="仿宋" w:hAnsi="仿宋" w:eastAsia="仿宋" w:cs="仿宋"/>
                <w:bCs/>
                <w:sz w:val="21"/>
                <w:szCs w:val="21"/>
              </w:rPr>
            </w:pPr>
            <w:r>
              <w:rPr>
                <w:rFonts w:hint="eastAsia" w:ascii="仿宋" w:hAnsi="仿宋" w:eastAsia="仿宋" w:cs="仿宋"/>
                <w:bCs/>
                <w:sz w:val="21"/>
                <w:szCs w:val="21"/>
              </w:rPr>
              <w:t>金融科技运营</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3" w:firstLineChars="111"/>
              <w:rPr>
                <w:rFonts w:hint="eastAsia" w:ascii="仿宋" w:hAnsi="仿宋" w:eastAsia="仿宋" w:cs="仿宋"/>
                <w:bCs/>
                <w:sz w:val="21"/>
                <w:szCs w:val="21"/>
              </w:rPr>
            </w:pPr>
            <w:r>
              <w:rPr>
                <w:rFonts w:hint="eastAsia" w:ascii="仿宋" w:hAnsi="仿宋" w:eastAsia="仿宋" w:cs="仿宋"/>
                <w:bCs/>
                <w:sz w:val="21"/>
                <w:szCs w:val="21"/>
              </w:rPr>
              <w:t>产品开发与设计；</w:t>
            </w:r>
          </w:p>
          <w:p>
            <w:pPr>
              <w:widowControl/>
              <w:spacing w:line="240" w:lineRule="exact"/>
              <w:ind w:firstLine="233" w:firstLineChars="111"/>
              <w:rPr>
                <w:rFonts w:hint="eastAsia" w:ascii="仿宋" w:hAnsi="仿宋" w:eastAsia="仿宋" w:cs="仿宋"/>
                <w:bCs/>
                <w:sz w:val="21"/>
                <w:szCs w:val="21"/>
              </w:rPr>
            </w:pPr>
            <w:r>
              <w:rPr>
                <w:rFonts w:hint="eastAsia" w:ascii="仿宋" w:hAnsi="仿宋" w:eastAsia="仿宋" w:cs="仿宋"/>
                <w:bCs/>
                <w:sz w:val="21"/>
                <w:szCs w:val="21"/>
              </w:rPr>
              <w:t>结合业务落地实施运营方案；</w:t>
            </w:r>
          </w:p>
          <w:p>
            <w:pPr>
              <w:widowControl/>
              <w:spacing w:line="240" w:lineRule="exact"/>
              <w:ind w:firstLine="233" w:firstLineChars="111"/>
              <w:rPr>
                <w:rFonts w:ascii="仿宋" w:hAnsi="仿宋" w:eastAsia="仿宋" w:cs="仿宋"/>
                <w:bCs/>
                <w:sz w:val="21"/>
                <w:szCs w:val="21"/>
              </w:rPr>
            </w:pPr>
            <w:r>
              <w:rPr>
                <w:rFonts w:hint="eastAsia" w:ascii="仿宋" w:hAnsi="仿宋" w:eastAsia="仿宋" w:cs="仿宋"/>
                <w:bCs/>
                <w:sz w:val="21"/>
                <w:szCs w:val="21"/>
              </w:rPr>
              <w:t>监测分析运营效果；为产品、系统、流程提供数据支撑和优化意见。</w:t>
            </w:r>
          </w:p>
        </w:tc>
        <w:tc>
          <w:tcPr>
            <w:tcW w:w="2793"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widowControl/>
              <w:spacing w:line="240" w:lineRule="exact"/>
              <w:ind w:firstLine="233" w:firstLineChars="111"/>
              <w:rPr>
                <w:rFonts w:ascii="仿宋" w:hAnsi="仿宋" w:eastAsia="仿宋" w:cs="仿宋"/>
                <w:bCs/>
                <w:sz w:val="21"/>
                <w:szCs w:val="21"/>
              </w:rPr>
            </w:pPr>
            <w:r>
              <w:rPr>
                <w:rFonts w:hint="eastAsia" w:ascii="仿宋" w:hAnsi="仿宋" w:eastAsia="仿宋" w:cs="仿宋"/>
                <w:bCs/>
                <w:sz w:val="21"/>
                <w:szCs w:val="21"/>
              </w:rPr>
              <w:t>熟悉金融科技应用产品的基本流程、运营模式和技术；较强的文案制作、数据分析能力、执行力。</w:t>
            </w:r>
          </w:p>
        </w:tc>
        <w:tc>
          <w:tcPr>
            <w:tcW w:w="22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10" w:firstLineChars="100"/>
              <w:rPr>
                <w:rFonts w:hint="eastAsia" w:ascii="仿宋" w:hAnsi="仿宋" w:eastAsia="仿宋" w:cs="仿宋"/>
                <w:bCs/>
                <w:sz w:val="21"/>
                <w:szCs w:val="21"/>
                <w:highlight w:val="none"/>
              </w:rPr>
            </w:pPr>
          </w:p>
          <w:p>
            <w:pPr>
              <w:widowControl/>
              <w:spacing w:line="240" w:lineRule="exact"/>
              <w:ind w:firstLine="210" w:firstLineChars="1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金融基础、金融科技概论、会计基础、金融大数据分析、金融市场基础知识、金融营销、个人理财、智能证券投资、小额信贷实务、公司金融、商业银行经营与管理、保险原理与实务、大数据</w:t>
            </w:r>
            <w:r>
              <w:rPr>
                <w:rFonts w:hint="eastAsia" w:ascii="仿宋" w:hAnsi="仿宋" w:eastAsia="仿宋" w:cs="仿宋"/>
                <w:bCs/>
                <w:sz w:val="21"/>
                <w:szCs w:val="21"/>
                <w:highlight w:val="none"/>
                <w:lang w:eastAsia="zh-CN"/>
              </w:rPr>
              <w:t>与</w:t>
            </w:r>
            <w:r>
              <w:rPr>
                <w:rFonts w:hint="eastAsia" w:ascii="仿宋" w:hAnsi="仿宋" w:eastAsia="仿宋" w:cs="仿宋"/>
                <w:bCs/>
                <w:sz w:val="21"/>
                <w:szCs w:val="21"/>
                <w:highlight w:val="none"/>
              </w:rPr>
              <w:t>征信等。</w:t>
            </w:r>
          </w:p>
          <w:p>
            <w:pPr>
              <w:widowControl/>
              <w:spacing w:line="240" w:lineRule="exact"/>
              <w:ind w:firstLine="210" w:firstLineChars="100"/>
              <w:rPr>
                <w:rFonts w:hint="eastAsia" w:ascii="仿宋" w:hAnsi="仿宋" w:eastAsia="仿宋" w:cs="仿宋"/>
                <w:bCs/>
                <w:sz w:val="21"/>
                <w:szCs w:val="21"/>
                <w:highlight w:val="yellow"/>
              </w:rPr>
            </w:pPr>
          </w:p>
          <w:p>
            <w:pPr>
              <w:widowControl/>
              <w:spacing w:line="240" w:lineRule="exact"/>
              <w:ind w:left="0" w:leftChars="0" w:firstLine="0" w:firstLineChars="0"/>
              <w:rPr>
                <w:rFonts w:ascii="仿宋" w:hAnsi="仿宋" w:eastAsia="仿宋" w:cs="仿宋"/>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eastAsia="zh-CN"/>
              </w:rPr>
              <w:t>投资理财</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3" w:firstLineChars="111"/>
              <w:rPr>
                <w:rFonts w:hint="eastAsia" w:ascii="仿宋" w:hAnsi="仿宋" w:eastAsia="仿宋" w:cs="仿宋"/>
                <w:bCs/>
                <w:sz w:val="21"/>
                <w:szCs w:val="21"/>
              </w:rPr>
            </w:pPr>
            <w:r>
              <w:rPr>
                <w:rFonts w:hint="eastAsia" w:ascii="仿宋" w:hAnsi="仿宋" w:eastAsia="仿宋" w:cs="仿宋"/>
                <w:bCs/>
                <w:sz w:val="21"/>
                <w:szCs w:val="21"/>
              </w:rPr>
              <w:t>梳理客户信息，做好客户需求分析；</w:t>
            </w:r>
          </w:p>
          <w:p>
            <w:pPr>
              <w:widowControl/>
              <w:spacing w:line="240" w:lineRule="exact"/>
              <w:ind w:firstLine="233" w:firstLineChars="111"/>
              <w:rPr>
                <w:rFonts w:hint="eastAsia" w:ascii="仿宋" w:hAnsi="仿宋" w:eastAsia="仿宋" w:cs="仿宋"/>
                <w:bCs/>
                <w:sz w:val="21"/>
                <w:szCs w:val="21"/>
              </w:rPr>
            </w:pPr>
            <w:r>
              <w:rPr>
                <w:rFonts w:hint="eastAsia" w:ascii="仿宋" w:hAnsi="仿宋" w:eastAsia="仿宋" w:cs="仿宋"/>
                <w:bCs/>
                <w:sz w:val="21"/>
                <w:szCs w:val="21"/>
              </w:rPr>
              <w:t>定制投资理财方案；</w:t>
            </w:r>
          </w:p>
          <w:p>
            <w:pPr>
              <w:widowControl/>
              <w:spacing w:line="240" w:lineRule="exact"/>
              <w:ind w:firstLine="233" w:firstLineChars="111"/>
              <w:rPr>
                <w:rFonts w:ascii="仿宋" w:hAnsi="仿宋" w:eastAsia="仿宋" w:cs="仿宋"/>
                <w:bCs/>
                <w:sz w:val="21"/>
                <w:szCs w:val="21"/>
              </w:rPr>
            </w:pPr>
            <w:r>
              <w:rPr>
                <w:rFonts w:hint="eastAsia" w:ascii="仿宋" w:hAnsi="仿宋" w:eastAsia="仿宋" w:cs="仿宋"/>
                <w:bCs/>
                <w:sz w:val="21"/>
                <w:szCs w:val="21"/>
              </w:rPr>
              <w:t>执行营销方案。</w:t>
            </w:r>
          </w:p>
        </w:tc>
        <w:tc>
          <w:tcPr>
            <w:tcW w:w="27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10" w:firstLineChars="100"/>
              <w:rPr>
                <w:rFonts w:ascii="仿宋" w:hAnsi="仿宋" w:eastAsia="仿宋" w:cs="仿宋"/>
                <w:bCs/>
                <w:sz w:val="21"/>
                <w:szCs w:val="21"/>
              </w:rPr>
            </w:pPr>
            <w:r>
              <w:rPr>
                <w:rFonts w:hint="eastAsia" w:ascii="仿宋" w:hAnsi="仿宋" w:eastAsia="仿宋" w:cs="仿宋"/>
                <w:bCs/>
                <w:sz w:val="21"/>
                <w:szCs w:val="21"/>
              </w:rPr>
              <w:t>熟悉金融工具和产品，以及相关政策法规；具备较强的财务分析能力、人际沟通与协调能力。</w:t>
            </w:r>
          </w:p>
        </w:tc>
        <w:tc>
          <w:tcPr>
            <w:tcW w:w="2299" w:type="dxa"/>
            <w:vMerge w:val="continue"/>
            <w:tcBorders>
              <w:top w:val="single" w:color="auto" w:sz="4" w:space="0"/>
              <w:left w:val="single" w:color="auto" w:sz="4" w:space="0"/>
              <w:bottom w:val="single" w:color="auto" w:sz="4" w:space="0"/>
              <w:right w:val="single" w:color="auto" w:sz="4" w:space="0"/>
            </w:tcBorders>
            <w:vAlign w:val="center"/>
          </w:tcPr>
          <w:p>
            <w:pPr>
              <w:ind w:firstLine="420"/>
              <w:rPr>
                <w:rFonts w:ascii="仿宋" w:hAnsi="仿宋" w:eastAsia="仿宋" w:cs="仿宋"/>
                <w:bCs/>
                <w:sz w:val="21"/>
                <w:szCs w:val="21"/>
              </w:rPr>
            </w:pPr>
          </w:p>
        </w:tc>
      </w:tr>
    </w:tbl>
    <w:p>
      <w:pPr>
        <w:pStyle w:val="8"/>
        <w:ind w:firstLine="640"/>
        <w:rPr>
          <w:rFonts w:ascii="楷体" w:hAnsi="楷体" w:eastAsia="楷体" w:cs="仿宋"/>
          <w:kern w:val="0"/>
          <w:sz w:val="32"/>
        </w:rPr>
      </w:pPr>
      <w:r>
        <w:rPr>
          <w:rFonts w:hint="eastAsia" w:ascii="楷体" w:hAnsi="楷体" w:eastAsia="楷体" w:cs="仿宋"/>
          <w:kern w:val="0"/>
          <w:sz w:val="32"/>
        </w:rPr>
        <w:t>（六）课内教学进程安排表</w:t>
      </w:r>
    </w:p>
    <w:p>
      <w:pPr>
        <w:widowControl/>
        <w:shd w:val="clear" w:color="auto" w:fill="FFFFFF"/>
        <w:ind w:firstLine="560"/>
        <w:jc w:val="left"/>
        <w:rPr>
          <w:rFonts w:hint="eastAsia" w:ascii="仿宋" w:hAnsi="仿宋" w:eastAsia="仿宋" w:cs="仿宋"/>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92" w:gutter="0"/>
          <w:cols w:space="720" w:num="1"/>
          <w:docGrid w:type="lines" w:linePitch="312" w:charSpace="0"/>
        </w:sectPr>
      </w:pPr>
    </w:p>
    <w:tbl>
      <w:tblPr>
        <w:tblStyle w:val="12"/>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00"/>
        <w:gridCol w:w="900"/>
        <w:gridCol w:w="1830"/>
        <w:gridCol w:w="882"/>
        <w:gridCol w:w="738"/>
        <w:gridCol w:w="540"/>
        <w:gridCol w:w="540"/>
        <w:gridCol w:w="720"/>
        <w:gridCol w:w="585"/>
        <w:gridCol w:w="585"/>
        <w:gridCol w:w="672"/>
        <w:gridCol w:w="510"/>
        <w:gridCol w:w="510"/>
        <w:gridCol w:w="510"/>
        <w:gridCol w:w="513"/>
        <w:gridCol w:w="540"/>
        <w:gridCol w:w="5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760" w:type="dxa"/>
            <w:gridSpan w:val="19"/>
            <w:tcBorders>
              <w:top w:val="nil"/>
              <w:left w:val="nil"/>
              <w:bottom w:val="nil"/>
              <w:right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kern w:val="0"/>
                <w:sz w:val="22"/>
                <w:szCs w:val="22"/>
                <w:lang w:val="en-US" w:eastAsia="zh-CN"/>
              </w:rPr>
              <w:t>表6：专业教学计划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课程平台</w:t>
            </w:r>
          </w:p>
        </w:tc>
        <w:tc>
          <w:tcPr>
            <w:tcW w:w="9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课程代码</w:t>
            </w:r>
          </w:p>
        </w:tc>
        <w:tc>
          <w:tcPr>
            <w:tcW w:w="183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课程名称</w:t>
            </w:r>
          </w:p>
        </w:tc>
        <w:tc>
          <w:tcPr>
            <w:tcW w:w="88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属性</w:t>
            </w:r>
          </w:p>
        </w:tc>
        <w:tc>
          <w:tcPr>
            <w:tcW w:w="7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课程归属</w:t>
            </w:r>
          </w:p>
        </w:tc>
        <w:tc>
          <w:tcPr>
            <w:tcW w:w="5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类型</w:t>
            </w:r>
          </w:p>
        </w:tc>
        <w:tc>
          <w:tcPr>
            <w:tcW w:w="5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学分</w:t>
            </w:r>
          </w:p>
        </w:tc>
        <w:tc>
          <w:tcPr>
            <w:tcW w:w="1890" w:type="dxa"/>
            <w:gridSpan w:val="3"/>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 时</w:t>
            </w:r>
          </w:p>
        </w:tc>
        <w:tc>
          <w:tcPr>
            <w:tcW w:w="67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考核</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形式</w:t>
            </w:r>
          </w:p>
        </w:tc>
        <w:tc>
          <w:tcPr>
            <w:tcW w:w="3123" w:type="dxa"/>
            <w:gridSpan w:val="6"/>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开课学期与周学时</w:t>
            </w:r>
          </w:p>
        </w:tc>
        <w:tc>
          <w:tcPr>
            <w:tcW w:w="21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评定方式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882"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7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1890"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3123" w:type="dxa"/>
            <w:gridSpan w:val="6"/>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882"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7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总学时</w:t>
            </w:r>
          </w:p>
        </w:tc>
        <w:tc>
          <w:tcPr>
            <w:tcW w:w="5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理论</w:t>
            </w:r>
          </w:p>
        </w:tc>
        <w:tc>
          <w:tcPr>
            <w:tcW w:w="5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实践</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w:t>
            </w:r>
          </w:p>
        </w:tc>
        <w:tc>
          <w:tcPr>
            <w:tcW w:w="5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四</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五</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六</w:t>
            </w: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882"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7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17周</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18周</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18周</w:t>
            </w: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18周</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18周</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16周</w:t>
            </w: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基础</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学习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领域</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必修</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0000137</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军事理论</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学生处</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理论测试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0600002</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毛泽东思想和中国特色社会主义理论体系概论</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闭卷考试+教学成果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0600003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习近平新时代中国特色社会主义思想</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闭卷考试+教学成果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0000130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思想道德与法治</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闭卷考试+教学成果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0000118</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形势与政策</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0000121</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实用英语Ⅰ</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0000122</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实用英语Ⅱ</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大学体育Ⅰ</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体育项目测试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大学体育Ⅱ</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体育项目测试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0000117</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大学生心理健康与安全教育</w:t>
            </w:r>
          </w:p>
        </w:tc>
        <w:tc>
          <w:tcPr>
            <w:tcW w:w="8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0000119</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职业生涯规划与就业指导</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创业基础（创新创业教育）</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0000138</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劳动教育与实践</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学生处</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劳动月</w:t>
            </w: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理论（1）+实践（3）劳动精神、工匠精神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0000129</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计算机应用基础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闭卷考试+上机操作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0000126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经济数学</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0000131</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大学语文</w:t>
            </w:r>
          </w:p>
        </w:tc>
        <w:tc>
          <w:tcPr>
            <w:tcW w:w="8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489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小计</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34</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580</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412</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168</w:t>
            </w:r>
          </w:p>
        </w:tc>
        <w:tc>
          <w:tcPr>
            <w:tcW w:w="672"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16</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15</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选修（应达6个学分）</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0000201</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中国优秀传统文化（美育）</w:t>
            </w:r>
          </w:p>
        </w:tc>
        <w:tc>
          <w:tcPr>
            <w:tcW w:w="8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课程论文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0000202</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环境保护与生态文明</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成果展示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0000204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四史（限选）</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过程考核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0000205</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习近平总书记教育重要论述讲义</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师范类专业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0000139</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应用写作</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过程考核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0000140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演讲与口才</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通识学院</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过程考核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489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小计</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6</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96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88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79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合计</w:t>
            </w:r>
          </w:p>
        </w:tc>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40</w:t>
            </w:r>
          </w:p>
        </w:tc>
        <w:tc>
          <w:tcPr>
            <w:tcW w:w="7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676</w:t>
            </w:r>
          </w:p>
        </w:tc>
        <w:tc>
          <w:tcPr>
            <w:tcW w:w="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500</w:t>
            </w:r>
          </w:p>
        </w:tc>
        <w:tc>
          <w:tcPr>
            <w:tcW w:w="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176</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16</w:t>
            </w:r>
          </w:p>
        </w:tc>
        <w:tc>
          <w:tcPr>
            <w:tcW w:w="5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15</w:t>
            </w: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专业学习领域</w:t>
            </w:r>
          </w:p>
        </w:tc>
        <w:tc>
          <w:tcPr>
            <w:tcW w:w="90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基础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0402145</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经济学基础☆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0402101</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金融基础☆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0402113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金融科技概论</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0402105</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经济法☆</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0402103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会计基础☆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0402153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金融基本技能</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nil"/>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0402144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公司金融☆</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技能</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0402110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金融营销★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项目化考核、闭卷考试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0402140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智能证券投资☆★</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闭卷考试、上机操作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0402106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金融大数据分析☆★</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实作考核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0402150</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商业银行经营与管理★☆</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nil"/>
              <w:bottom w:val="single" w:color="000000" w:sz="8" w:space="0"/>
              <w:right w:val="nil"/>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0402139</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个人理财★☆</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0402143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小额信贷实务★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40" w:type="dxa"/>
            <w:tcBorders>
              <w:top w:val="nil"/>
              <w:left w:val="nil"/>
              <w:bottom w:val="nil"/>
              <w:right w:val="single" w:color="000000" w:sz="8" w:space="0"/>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0402146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金融信托与租赁★</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nil"/>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0402136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电子商务★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考试</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闭卷考试、成果评审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拓展（选修4门，8学分）</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0402202</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保险原理与实务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0402207</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证券市场基本法律法规</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nil"/>
              <w:right w:val="nil"/>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0402135</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大数据与征信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0402213</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金融衍生品</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0402215</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区块链金融</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nil"/>
              <w:right w:val="nil"/>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0401201</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企业内部控制</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nil"/>
              <w:right w:val="single" w:color="000000" w:sz="8" w:space="0"/>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金融风险管理</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0401206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管理学基础</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金融品牌策划与推广</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both"/>
              <w:rPr>
                <w:rFonts w:hint="eastAsia" w:ascii="仿宋" w:hAnsi="仿宋" w:eastAsia="仿宋" w:cs="仿宋"/>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0402217</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金融市场基础知识</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0402204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新媒体营销与策划</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0402218</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金融服务礼仪</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0402211</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Python程序设计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0401208</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财经应用文写作</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0402216</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国际金融</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0402219</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客户服务与管理</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790"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小 计</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63</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992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652</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340</w:t>
            </w:r>
          </w:p>
        </w:tc>
        <w:tc>
          <w:tcPr>
            <w:tcW w:w="67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9</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10</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27</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17</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5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实践教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学领域</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军政训练</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0000145</w:t>
            </w:r>
          </w:p>
        </w:tc>
        <w:tc>
          <w:tcPr>
            <w:tcW w:w="18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军事训练与入学教育</w:t>
            </w:r>
          </w:p>
        </w:tc>
        <w:tc>
          <w:tcPr>
            <w:tcW w:w="8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公共课</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学生处</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6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w:t>
            </w: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军训汇报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认知实习</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402133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认知实习</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综合实训（2W）</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0402124</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投资理财综合实训</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上机操作、成果评审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0402120</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金融营销综合实训</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管健</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项目化考核、成果评审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岗位实习</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0000243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岗位实习</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336</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w:t>
            </w: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实习报告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毕业实习</w:t>
            </w:r>
          </w:p>
        </w:tc>
        <w:tc>
          <w:tcPr>
            <w:tcW w:w="90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default"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0402123</w:t>
            </w:r>
          </w:p>
        </w:tc>
        <w:tc>
          <w:tcPr>
            <w:tcW w:w="18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毕业实习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（含毕业设计）</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专业课</w:t>
            </w:r>
          </w:p>
        </w:tc>
        <w:tc>
          <w:tcPr>
            <w:tcW w:w="73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504</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504</w:t>
            </w:r>
          </w:p>
        </w:tc>
        <w:tc>
          <w:tcPr>
            <w:tcW w:w="6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考查</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w:t>
            </w:r>
          </w:p>
        </w:tc>
        <w:tc>
          <w:tcPr>
            <w:tcW w:w="21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实习报告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i w:val="0"/>
                <w:iCs w:val="0"/>
                <w:color w:val="auto"/>
                <w:sz w:val="18"/>
                <w:szCs w:val="18"/>
                <w:u w:val="none"/>
              </w:rPr>
            </w:pPr>
          </w:p>
        </w:tc>
        <w:tc>
          <w:tcPr>
            <w:tcW w:w="5790"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小 计</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36</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1008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992</w:t>
            </w:r>
          </w:p>
        </w:tc>
        <w:tc>
          <w:tcPr>
            <w:tcW w:w="67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375"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合计</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139</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2676</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1168</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1508</w:t>
            </w:r>
          </w:p>
        </w:tc>
        <w:tc>
          <w:tcPr>
            <w:tcW w:w="67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25</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25</w:t>
            </w:r>
          </w:p>
        </w:tc>
        <w:tc>
          <w:tcPr>
            <w:tcW w:w="51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5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27</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17</w:t>
            </w:r>
          </w:p>
        </w:tc>
        <w:tc>
          <w:tcPr>
            <w:tcW w:w="54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c>
          <w:tcPr>
            <w:tcW w:w="216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仿宋" w:hAnsi="仿宋" w:eastAsia="仿宋" w:cs="仿宋"/>
                <w:b/>
                <w:bCs/>
                <w:i w:val="0"/>
                <w:iCs w:val="0"/>
                <w:color w:val="auto"/>
                <w:sz w:val="18"/>
                <w:szCs w:val="18"/>
                <w:u w:val="none"/>
              </w:rPr>
            </w:pPr>
          </w:p>
        </w:tc>
      </w:tr>
    </w:tbl>
    <w:p>
      <w:pPr>
        <w:spacing w:line="400" w:lineRule="exact"/>
        <w:ind w:left="0" w:leftChars="0" w:firstLine="420" w:firstLineChars="200"/>
        <w:rPr>
          <w:rFonts w:ascii="仿宋" w:hAnsi="仿宋" w:eastAsia="仿宋" w:cs="仿宋"/>
          <w:kern w:val="44"/>
          <w:sz w:val="21"/>
          <w:szCs w:val="21"/>
        </w:rPr>
      </w:pPr>
      <w:r>
        <w:rPr>
          <w:rFonts w:hint="eastAsia" w:ascii="仿宋" w:hAnsi="仿宋" w:eastAsia="仿宋" w:cs="仿宋"/>
          <w:bCs/>
          <w:color w:val="FF0000"/>
          <w:sz w:val="21"/>
          <w:szCs w:val="21"/>
        </w:rPr>
        <w:t>说明：</w:t>
      </w:r>
      <w:r>
        <w:rPr>
          <w:rFonts w:hint="eastAsia" w:ascii="仿宋" w:hAnsi="仿宋" w:eastAsia="仿宋" w:cs="仿宋"/>
          <w:kern w:val="44"/>
          <w:sz w:val="21"/>
          <w:szCs w:val="21"/>
        </w:rPr>
        <w:t>1.课程属性一栏填写“公共课、专业基础课、专业课（专业核心课、专业拓展课、专业实践课）”，专业核心课须在课程名称后加“★”；</w:t>
      </w:r>
    </w:p>
    <w:p>
      <w:pPr>
        <w:spacing w:line="400" w:lineRule="exact"/>
        <w:ind w:firstLine="420"/>
        <w:rPr>
          <w:rFonts w:ascii="仿宋" w:hAnsi="仿宋" w:eastAsia="仿宋" w:cs="仿宋"/>
          <w:kern w:val="44"/>
          <w:sz w:val="21"/>
          <w:szCs w:val="21"/>
        </w:rPr>
      </w:pPr>
      <w:r>
        <w:rPr>
          <w:rFonts w:hint="eastAsia" w:ascii="仿宋" w:hAnsi="仿宋" w:eastAsia="仿宋" w:cs="仿宋"/>
          <w:kern w:val="44"/>
          <w:sz w:val="21"/>
          <w:szCs w:val="21"/>
        </w:rPr>
        <w:t xml:space="preserve">      2.课程类型一栏填写“A、B、C”分别表示：A类（纯理论课），B类（理论＋实践课）， C类（纯实践课）;</w:t>
      </w:r>
    </w:p>
    <w:p>
      <w:pPr>
        <w:spacing w:line="400" w:lineRule="exact"/>
        <w:ind w:firstLine="1050" w:firstLineChars="500"/>
        <w:rPr>
          <w:rFonts w:ascii="仿宋" w:hAnsi="仿宋" w:eastAsia="仿宋" w:cs="仿宋"/>
          <w:kern w:val="44"/>
          <w:sz w:val="21"/>
          <w:szCs w:val="21"/>
        </w:rPr>
      </w:pPr>
      <w:r>
        <w:rPr>
          <w:rFonts w:hint="eastAsia" w:ascii="仿宋" w:hAnsi="仿宋" w:eastAsia="仿宋" w:cs="仿宋"/>
          <w:kern w:val="44"/>
          <w:sz w:val="21"/>
          <w:szCs w:val="21"/>
        </w:rPr>
        <w:t>3.课证融通课程后标注“☆”;</w:t>
      </w:r>
    </w:p>
    <w:p>
      <w:pPr>
        <w:spacing w:line="400" w:lineRule="exact"/>
        <w:ind w:firstLine="1050" w:firstLineChars="500"/>
        <w:rPr>
          <w:rFonts w:ascii="仿宋" w:hAnsi="仿宋" w:eastAsia="仿宋" w:cs="仿宋"/>
          <w:kern w:val="44"/>
          <w:sz w:val="21"/>
          <w:szCs w:val="21"/>
        </w:rPr>
      </w:pPr>
      <w:r>
        <w:rPr>
          <w:rFonts w:hint="eastAsia" w:ascii="仿宋" w:hAnsi="仿宋" w:eastAsia="仿宋" w:cs="仿宋"/>
          <w:kern w:val="44"/>
          <w:sz w:val="21"/>
          <w:szCs w:val="21"/>
        </w:rPr>
        <w:t>4.考核形式分为考试和考查，成绩评定方式包括闭卷考试；开卷考试；技能展示； 实作考核；成果评审；项目考核；调研报告；小论文；上机操作；</w:t>
      </w:r>
    </w:p>
    <w:p>
      <w:pPr>
        <w:spacing w:line="400" w:lineRule="exact"/>
        <w:ind w:firstLine="1050" w:firstLineChars="500"/>
        <w:rPr>
          <w:rFonts w:ascii="仿宋" w:hAnsi="仿宋" w:eastAsia="仿宋" w:cs="仿宋"/>
          <w:kern w:val="44"/>
          <w:sz w:val="21"/>
          <w:szCs w:val="21"/>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720" w:right="720" w:bottom="720" w:left="720" w:header="851" w:footer="992" w:gutter="0"/>
          <w:cols w:space="720" w:num="1"/>
          <w:docGrid w:type="lines" w:linePitch="312" w:charSpace="0"/>
        </w:sectPr>
      </w:pPr>
      <w:r>
        <w:rPr>
          <w:rFonts w:hint="eastAsia" w:ascii="仿宋" w:hAnsi="仿宋" w:eastAsia="仿宋" w:cs="仿宋"/>
          <w:kern w:val="44"/>
          <w:sz w:val="21"/>
          <w:szCs w:val="21"/>
        </w:rPr>
        <w:t xml:space="preserve">  情景模拟考核形式，根据课程考核形式做好标注具体形式。</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八、实施保障</w:t>
      </w:r>
    </w:p>
    <w:p>
      <w:pPr>
        <w:pStyle w:val="8"/>
        <w:ind w:firstLine="640"/>
        <w:rPr>
          <w:rFonts w:hint="eastAsia" w:ascii="微软雅黑" w:hAnsi="微软雅黑" w:eastAsia="微软雅黑" w:cs="微软雅黑"/>
          <w:i w:val="0"/>
          <w:iCs w:val="0"/>
          <w:caps w:val="0"/>
          <w:color w:val="3D4552"/>
          <w:spacing w:val="0"/>
          <w:sz w:val="28"/>
          <w:szCs w:val="28"/>
          <w:shd w:val="clear" w:fill="E6F1FC"/>
        </w:rPr>
      </w:pPr>
      <w:r>
        <w:rPr>
          <w:rFonts w:hint="eastAsia" w:ascii="楷体" w:hAnsi="楷体" w:eastAsia="楷体" w:cs="仿宋"/>
          <w:kern w:val="0"/>
          <w:sz w:val="32"/>
        </w:rPr>
        <w:t>（一）师资队伍</w:t>
      </w:r>
    </w:p>
    <w:p>
      <w:pPr>
        <w:ind w:firstLine="560"/>
        <w:rPr>
          <w:rFonts w:hint="eastAsia" w:ascii="仿宋" w:hAnsi="仿宋" w:eastAsia="仿宋" w:cs="仿宋"/>
          <w:sz w:val="28"/>
          <w:szCs w:val="28"/>
        </w:rPr>
      </w:pPr>
      <w:r>
        <w:rPr>
          <w:rFonts w:hint="eastAsia" w:ascii="仿宋" w:hAnsi="仿宋" w:eastAsia="仿宋" w:cs="仿宋"/>
          <w:sz w:val="28"/>
          <w:szCs w:val="28"/>
        </w:rPr>
        <w:t>1.队伍结构</w:t>
      </w:r>
    </w:p>
    <w:p>
      <w:pPr>
        <w:ind w:firstLine="560"/>
        <w:rPr>
          <w:rFonts w:hint="eastAsia" w:ascii="仿宋" w:hAnsi="仿宋" w:eastAsia="仿宋" w:cs="仿宋"/>
          <w:sz w:val="28"/>
          <w:szCs w:val="28"/>
        </w:rPr>
      </w:pPr>
      <w:r>
        <w:rPr>
          <w:rFonts w:hint="eastAsia" w:ascii="仿宋" w:hAnsi="仿宋" w:eastAsia="仿宋" w:cs="仿宋"/>
          <w:sz w:val="28"/>
          <w:szCs w:val="28"/>
        </w:rPr>
        <w:t>本专业</w:t>
      </w:r>
      <w:r>
        <w:rPr>
          <w:rFonts w:hint="eastAsia" w:ascii="仿宋" w:hAnsi="仿宋" w:eastAsia="仿宋" w:cs="仿宋"/>
          <w:sz w:val="28"/>
          <w:szCs w:val="28"/>
          <w:lang w:eastAsia="zh-CN"/>
        </w:rPr>
        <w:t>组建了一支跨界融合型双导师教学团队，助力学生实现“财”华横溢的高配人生。教师</w:t>
      </w:r>
      <w:r>
        <w:rPr>
          <w:rFonts w:hint="eastAsia" w:ascii="仿宋" w:hAnsi="仿宋" w:eastAsia="仿宋" w:cs="仿宋"/>
          <w:sz w:val="28"/>
          <w:szCs w:val="28"/>
        </w:rPr>
        <w:t>团队现有</w:t>
      </w:r>
      <w:r>
        <w:rPr>
          <w:rFonts w:hint="eastAsia" w:ascii="仿宋" w:hAnsi="仿宋" w:eastAsia="仿宋" w:cs="仿宋"/>
          <w:sz w:val="28"/>
          <w:szCs w:val="28"/>
          <w:lang w:eastAsia="zh-CN"/>
        </w:rPr>
        <w:t>专任</w:t>
      </w:r>
      <w:r>
        <w:rPr>
          <w:rFonts w:hint="eastAsia" w:ascii="仿宋" w:hAnsi="仿宋" w:eastAsia="仿宋" w:cs="仿宋"/>
          <w:sz w:val="28"/>
          <w:szCs w:val="28"/>
        </w:rPr>
        <w:t>教师1</w:t>
      </w:r>
      <w:r>
        <w:rPr>
          <w:rFonts w:hint="eastAsia" w:ascii="仿宋" w:hAnsi="仿宋" w:eastAsia="仿宋" w:cs="仿宋"/>
          <w:sz w:val="28"/>
          <w:szCs w:val="28"/>
          <w:lang w:val="en-US" w:eastAsia="zh-CN"/>
        </w:rPr>
        <w:t>0人</w:t>
      </w:r>
      <w:r>
        <w:rPr>
          <w:rFonts w:hint="eastAsia" w:ascii="仿宋" w:hAnsi="仿宋" w:eastAsia="仿宋" w:cs="仿宋"/>
          <w:sz w:val="28"/>
          <w:szCs w:val="28"/>
        </w:rPr>
        <w:t>，</w:t>
      </w:r>
      <w:r>
        <w:rPr>
          <w:rFonts w:hint="eastAsia" w:ascii="仿宋" w:hAnsi="仿宋" w:eastAsia="仿宋" w:cs="仿宋"/>
          <w:sz w:val="28"/>
          <w:szCs w:val="28"/>
          <w:lang w:eastAsia="zh-CN"/>
        </w:rPr>
        <w:t>包括副教授</w:t>
      </w:r>
      <w:r>
        <w:rPr>
          <w:rFonts w:hint="eastAsia" w:ascii="仿宋" w:hAnsi="仿宋" w:eastAsia="仿宋" w:cs="仿宋"/>
          <w:sz w:val="28"/>
          <w:szCs w:val="28"/>
          <w:lang w:val="en-US" w:eastAsia="zh-CN"/>
        </w:rPr>
        <w:t>2人，讲师5人，助教2人，硕士、博士研究生学历教师占20%，“双师素质”教师占90%，</w:t>
      </w:r>
      <w:r>
        <w:rPr>
          <w:rFonts w:hint="eastAsia" w:ascii="仿宋" w:hAnsi="仿宋" w:eastAsia="仿宋" w:cs="仿宋"/>
          <w:sz w:val="28"/>
          <w:szCs w:val="28"/>
        </w:rPr>
        <w:t>校外企业</w:t>
      </w:r>
      <w:r>
        <w:rPr>
          <w:rFonts w:hint="eastAsia" w:ascii="仿宋" w:hAnsi="仿宋" w:eastAsia="仿宋" w:cs="仿宋"/>
          <w:sz w:val="28"/>
          <w:szCs w:val="28"/>
          <w:lang w:val="en-US" w:eastAsia="zh-CN"/>
        </w:rPr>
        <w:t>兼职教师5人，师生比近1：20。</w:t>
      </w:r>
    </w:p>
    <w:p>
      <w:pPr>
        <w:ind w:firstLine="560"/>
        <w:rPr>
          <w:rFonts w:hint="eastAsia" w:ascii="仿宋" w:hAnsi="仿宋" w:eastAsia="仿宋" w:cs="仿宋"/>
          <w:sz w:val="28"/>
          <w:szCs w:val="28"/>
        </w:rPr>
      </w:pPr>
      <w:r>
        <w:rPr>
          <w:rFonts w:hint="eastAsia" w:ascii="仿宋" w:hAnsi="仿宋" w:eastAsia="仿宋" w:cs="仿宋"/>
          <w:sz w:val="28"/>
          <w:szCs w:val="28"/>
        </w:rPr>
        <w:t>2.专任教师</w:t>
      </w:r>
    </w:p>
    <w:p>
      <w:pPr>
        <w:ind w:firstLine="560"/>
        <w:rPr>
          <w:rFonts w:hint="eastAsia" w:ascii="仿宋" w:hAnsi="仿宋" w:eastAsia="仿宋" w:cs="仿宋"/>
          <w:sz w:val="28"/>
          <w:szCs w:val="28"/>
        </w:rPr>
      </w:pPr>
      <w:r>
        <w:rPr>
          <w:rFonts w:hint="eastAsia" w:ascii="仿宋" w:hAnsi="仿宋" w:eastAsia="仿宋" w:cs="仿宋"/>
          <w:sz w:val="28"/>
          <w:szCs w:val="28"/>
          <w:lang w:eastAsia="zh-CN"/>
        </w:rPr>
        <w:t>团队教师</w:t>
      </w:r>
      <w:r>
        <w:rPr>
          <w:rFonts w:hint="eastAsia" w:ascii="仿宋" w:hAnsi="仿宋" w:eastAsia="仿宋" w:cs="仿宋"/>
          <w:sz w:val="28"/>
          <w:szCs w:val="28"/>
        </w:rPr>
        <w:t>有理想信念、有道德情操、有扎实学识、有仁爱之心;具有高校教师资格和本专业职业资格或技能等级证书;具有金融学、计算机科学、统计学</w:t>
      </w:r>
      <w:r>
        <w:rPr>
          <w:rFonts w:hint="eastAsia" w:ascii="仿宋" w:hAnsi="仿宋" w:eastAsia="仿宋" w:cs="仿宋"/>
          <w:sz w:val="28"/>
          <w:szCs w:val="28"/>
          <w:lang w:eastAsia="zh-CN"/>
        </w:rPr>
        <w:t>、区块链</w:t>
      </w:r>
      <w:r>
        <w:rPr>
          <w:rFonts w:hint="eastAsia" w:ascii="仿宋" w:hAnsi="仿宋" w:eastAsia="仿宋" w:cs="仿宋"/>
          <w:sz w:val="28"/>
          <w:szCs w:val="28"/>
        </w:rPr>
        <w:t>等相关专业本科及以上学历;具有扎实的金融科技相关理论功底和实践能力;具有较强信息化教学能力，能够开展课程教学改革和科学研究;</w:t>
      </w:r>
      <w:r>
        <w:rPr>
          <w:rFonts w:hint="eastAsia" w:ascii="仿宋" w:hAnsi="仿宋" w:eastAsia="仿宋" w:cs="仿宋"/>
          <w:sz w:val="28"/>
          <w:szCs w:val="28"/>
          <w:lang w:eastAsia="zh-CN"/>
        </w:rPr>
        <w:t>定期开展师资培训，提升教学能力和专业技能；积极参与企业实践，</w:t>
      </w:r>
      <w:r>
        <w:rPr>
          <w:rFonts w:hint="eastAsia" w:ascii="仿宋" w:hAnsi="仿宋" w:eastAsia="仿宋" w:cs="仿宋"/>
          <w:kern w:val="0"/>
          <w:sz w:val="28"/>
          <w:szCs w:val="28"/>
        </w:rPr>
        <w:t>分别</w:t>
      </w:r>
      <w:r>
        <w:rPr>
          <w:rFonts w:hint="eastAsia" w:ascii="仿宋" w:hAnsi="仿宋" w:eastAsia="仿宋" w:cs="仿宋"/>
          <w:bCs w:val="0"/>
          <w:kern w:val="0"/>
          <w:sz w:val="28"/>
          <w:szCs w:val="28"/>
        </w:rPr>
        <w:t>与中国银行、安信证券、民生银行、重庆银行、中国人寿等金融企业开展校企合作，双方在师资构成与培养方面深度合作</w:t>
      </w:r>
      <w:r>
        <w:rPr>
          <w:rFonts w:hint="eastAsia" w:ascii="仿宋" w:hAnsi="仿宋" w:eastAsia="仿宋" w:cs="仿宋"/>
          <w:bCs w:val="0"/>
          <w:kern w:val="0"/>
          <w:sz w:val="28"/>
          <w:szCs w:val="28"/>
          <w:lang w:eastAsia="zh-CN"/>
        </w:rPr>
        <w:t>，</w:t>
      </w:r>
      <w:r>
        <w:rPr>
          <w:rFonts w:hint="eastAsia" w:ascii="仿宋" w:hAnsi="仿宋" w:eastAsia="仿宋" w:cs="仿宋"/>
          <w:bCs w:val="0"/>
          <w:kern w:val="0"/>
          <w:sz w:val="28"/>
          <w:szCs w:val="28"/>
        </w:rPr>
        <w:t>包括公司方面派出相对稳定的技术骨干指导学生实习（实训），学院老师到企业挂职锻炼，校企共同开发课程等</w:t>
      </w:r>
      <w:r>
        <w:rPr>
          <w:rFonts w:hint="eastAsia" w:ascii="仿宋" w:hAnsi="仿宋" w:eastAsia="仿宋" w:cs="仿宋"/>
          <w:bCs w:val="0"/>
          <w:kern w:val="0"/>
          <w:sz w:val="28"/>
          <w:szCs w:val="28"/>
          <w:lang w:eastAsia="zh-CN"/>
        </w:rPr>
        <w:t>，并且</w:t>
      </w:r>
      <w:r>
        <w:rPr>
          <w:rFonts w:hint="eastAsia" w:ascii="仿宋" w:hAnsi="仿宋" w:eastAsia="仿宋" w:cs="仿宋"/>
          <w:sz w:val="28"/>
          <w:szCs w:val="28"/>
          <w:lang w:eastAsia="zh-CN"/>
        </w:rPr>
        <w:t>要求专任教师每年在企业实践时间不少于1个月。</w:t>
      </w:r>
    </w:p>
    <w:p>
      <w:pPr>
        <w:ind w:firstLine="560"/>
        <w:rPr>
          <w:rFonts w:hint="eastAsia" w:ascii="仿宋" w:hAnsi="仿宋" w:eastAsia="仿宋" w:cs="仿宋"/>
          <w:sz w:val="28"/>
          <w:szCs w:val="28"/>
        </w:rPr>
      </w:pPr>
      <w:r>
        <w:rPr>
          <w:rFonts w:hint="eastAsia" w:ascii="仿宋" w:hAnsi="仿宋" w:eastAsia="仿宋" w:cs="仿宋"/>
          <w:sz w:val="28"/>
          <w:szCs w:val="28"/>
        </w:rPr>
        <w:t>3.兼职教师</w:t>
      </w:r>
    </w:p>
    <w:p>
      <w:pPr>
        <w:ind w:firstLine="560"/>
        <w:rPr>
          <w:rFonts w:hint="eastAsia" w:ascii="仿宋" w:hAnsi="仿宋" w:eastAsia="仿宋" w:cs="仿宋"/>
          <w:kern w:val="0"/>
          <w:sz w:val="28"/>
          <w:szCs w:val="28"/>
        </w:rPr>
      </w:pPr>
      <w:r>
        <w:rPr>
          <w:rFonts w:hint="eastAsia" w:ascii="仿宋" w:hAnsi="仿宋" w:eastAsia="仿宋" w:cs="仿宋"/>
          <w:sz w:val="28"/>
          <w:szCs w:val="28"/>
        </w:rPr>
        <w:t>主要从</w:t>
      </w:r>
      <w:r>
        <w:rPr>
          <w:rFonts w:hint="eastAsia" w:ascii="仿宋" w:hAnsi="仿宋" w:eastAsia="仿宋" w:cs="仿宋"/>
          <w:sz w:val="28"/>
          <w:szCs w:val="28"/>
          <w:lang w:eastAsia="zh-CN"/>
        </w:rPr>
        <w:t>校企合作</w:t>
      </w:r>
      <w:r>
        <w:rPr>
          <w:rFonts w:hint="eastAsia" w:ascii="仿宋" w:hAnsi="仿宋" w:eastAsia="仿宋" w:cs="仿宋"/>
          <w:sz w:val="28"/>
          <w:szCs w:val="28"/>
        </w:rPr>
        <w:t>金融企业聘任，具备良好的思想政治素质、职业道德和工匠精神，具有扎实的金融科技专业知识和丰富的实际工作经验，具有行业相关专业技术资格，能承担课程与实训教学、实习指导等专业教学任务</w:t>
      </w:r>
      <w:r>
        <w:rPr>
          <w:rFonts w:hint="eastAsia" w:ascii="仿宋" w:hAnsi="仿宋" w:eastAsia="仿宋" w:cs="仿宋"/>
          <w:sz w:val="28"/>
          <w:szCs w:val="28"/>
          <w:lang w:eastAsia="zh-CN"/>
        </w:rPr>
        <w:t>，建立兼职教师教学质量与课时津贴挂钩的考评机制，确保兼职教师的教学质量。</w:t>
      </w:r>
    </w:p>
    <w:p>
      <w:pPr>
        <w:pStyle w:val="8"/>
        <w:ind w:firstLine="640"/>
        <w:rPr>
          <w:rFonts w:ascii="楷体" w:hAnsi="楷体" w:eastAsia="楷体" w:cs="仿宋"/>
          <w:kern w:val="0"/>
          <w:sz w:val="32"/>
        </w:rPr>
      </w:pPr>
      <w:r>
        <w:rPr>
          <w:rFonts w:hint="eastAsia" w:ascii="楷体" w:hAnsi="楷体" w:eastAsia="楷体" w:cs="仿宋"/>
          <w:kern w:val="0"/>
          <w:sz w:val="32"/>
        </w:rPr>
        <w:t>（二）教学设施</w:t>
      </w:r>
    </w:p>
    <w:p>
      <w:pPr>
        <w:ind w:firstLine="600"/>
        <w:rPr>
          <w:rFonts w:hint="eastAsia" w:ascii="仿宋" w:hAnsi="仿宋" w:eastAsia="仿宋" w:cs="仿宋"/>
          <w:sz w:val="28"/>
          <w:szCs w:val="28"/>
        </w:rPr>
      </w:pPr>
      <w:r>
        <w:rPr>
          <w:rFonts w:hint="eastAsia" w:ascii="仿宋" w:hAnsi="仿宋" w:eastAsia="仿宋" w:cs="仿宋"/>
          <w:sz w:val="28"/>
          <w:szCs w:val="28"/>
        </w:rPr>
        <w:t>教学设施基本满足本专业人才培养实施需要，信息化条件保障能满足专业建设、教学管理、信息化教学和学生自主学习需要。</w:t>
      </w:r>
    </w:p>
    <w:p>
      <w:pPr>
        <w:spacing w:after="156" w:afterLines="50"/>
        <w:ind w:firstLine="442"/>
        <w:jc w:val="center"/>
        <w:rPr>
          <w:rFonts w:ascii="仿宋" w:hAnsi="仿宋" w:eastAsia="仿宋" w:cs="仿宋"/>
          <w:b/>
          <w:bCs/>
          <w:sz w:val="22"/>
          <w:szCs w:val="22"/>
        </w:rPr>
      </w:pPr>
      <w:r>
        <w:rPr>
          <w:rFonts w:hint="eastAsia" w:ascii="仿宋" w:hAnsi="仿宋" w:eastAsia="仿宋" w:cs="仿宋"/>
          <w:b/>
          <w:bCs/>
          <w:sz w:val="22"/>
          <w:szCs w:val="22"/>
        </w:rPr>
        <w:t>表</w:t>
      </w:r>
      <w:r>
        <w:rPr>
          <w:rFonts w:ascii="仿宋" w:hAnsi="仿宋" w:eastAsia="仿宋" w:cs="仿宋"/>
          <w:b/>
          <w:bCs/>
          <w:sz w:val="22"/>
          <w:szCs w:val="22"/>
        </w:rPr>
        <w:t>7</w:t>
      </w:r>
      <w:r>
        <w:rPr>
          <w:rFonts w:hint="eastAsia" w:ascii="仿宋" w:hAnsi="仿宋" w:eastAsia="仿宋" w:cs="仿宋"/>
          <w:b/>
          <w:bCs/>
          <w:sz w:val="22"/>
          <w:szCs w:val="22"/>
        </w:rPr>
        <w:t>.校内实践教学场地与功能介绍</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24"/>
        <w:gridCol w:w="3159"/>
        <w:gridCol w:w="3561"/>
        <w:gridCol w:w="1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8"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序号</w:t>
            </w:r>
          </w:p>
        </w:tc>
        <w:tc>
          <w:tcPr>
            <w:tcW w:w="3159" w:type="dxa"/>
            <w:tcBorders>
              <w:top w:val="single" w:color="auto" w:sz="8"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实验室、实训基地（中心）的名称</w:t>
            </w:r>
          </w:p>
        </w:tc>
        <w:tc>
          <w:tcPr>
            <w:tcW w:w="3561" w:type="dxa"/>
            <w:tcBorders>
              <w:top w:val="single" w:color="auto" w:sz="8"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完成的实践教学内容</w:t>
            </w:r>
          </w:p>
        </w:tc>
        <w:tc>
          <w:tcPr>
            <w:tcW w:w="1428" w:type="dxa"/>
            <w:tcBorders>
              <w:top w:val="single" w:color="auto" w:sz="8" w:space="0"/>
              <w:left w:val="single" w:color="auto" w:sz="4" w:space="0"/>
              <w:bottom w:val="single" w:color="auto" w:sz="4" w:space="0"/>
              <w:right w:val="single" w:color="auto" w:sz="8"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1</w:t>
            </w:r>
          </w:p>
        </w:tc>
        <w:tc>
          <w:tcPr>
            <w:tcW w:w="3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sz w:val="18"/>
                <w:szCs w:val="18"/>
              </w:rPr>
            </w:pPr>
            <w:r>
              <w:rPr>
                <w:rFonts w:hint="eastAsia" w:ascii="黑体" w:hAnsi="黑体" w:eastAsia="黑体"/>
                <w:sz w:val="18"/>
                <w:szCs w:val="18"/>
              </w:rPr>
              <w:t>金融科技应用综合实训室</w:t>
            </w:r>
          </w:p>
        </w:tc>
        <w:tc>
          <w:tcPr>
            <w:tcW w:w="3561" w:type="dxa"/>
            <w:tcBorders>
              <w:top w:val="single" w:color="auto" w:sz="4" w:space="0"/>
              <w:left w:val="single" w:color="auto" w:sz="4" w:space="0"/>
              <w:bottom w:val="single" w:color="auto" w:sz="4" w:space="0"/>
              <w:right w:val="single" w:color="auto" w:sz="4" w:space="0"/>
            </w:tcBorders>
            <w:vAlign w:val="center"/>
          </w:tcPr>
          <w:p>
            <w:pPr>
              <w:pStyle w:val="10"/>
              <w:spacing w:line="500" w:lineRule="exact"/>
              <w:ind w:left="0" w:leftChars="0" w:firstLine="0" w:firstLineChars="0"/>
              <w:jc w:val="center"/>
              <w:rPr>
                <w:rFonts w:ascii="黑体" w:hAnsi="黑体" w:eastAsia="黑体"/>
                <w:sz w:val="18"/>
                <w:szCs w:val="18"/>
              </w:rPr>
            </w:pPr>
            <w:r>
              <w:rPr>
                <w:rFonts w:hint="eastAsia" w:ascii="黑体" w:hAnsi="黑体" w:eastAsia="黑体" w:cs="Times New Roman"/>
                <w:kern w:val="2"/>
                <w:sz w:val="18"/>
                <w:szCs w:val="18"/>
                <w:lang w:val="en-US" w:eastAsia="zh-CN" w:bidi="ar-SA"/>
              </w:rPr>
              <w:t>金融与大数据、区块链、云计算、人工智能等新兴前沿技术相结合的应用模块演练</w:t>
            </w:r>
          </w:p>
        </w:tc>
        <w:tc>
          <w:tcPr>
            <w:tcW w:w="142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both"/>
              <w:rPr>
                <w:rFonts w:ascii="黑体" w:hAnsi="黑体" w:eastAsia="黑体"/>
                <w:sz w:val="21"/>
                <w:szCs w:val="21"/>
              </w:rPr>
            </w:pPr>
            <w:r>
              <w:rPr>
                <w:rFonts w:hint="eastAsia" w:ascii="黑体" w:hAnsi="黑体" w:eastAsia="黑体"/>
                <w:sz w:val="21"/>
                <w:szCs w:val="21"/>
              </w:rPr>
              <w:t>规划建设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2</w:t>
            </w:r>
          </w:p>
        </w:tc>
        <w:tc>
          <w:tcPr>
            <w:tcW w:w="3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sz w:val="18"/>
                <w:szCs w:val="18"/>
              </w:rPr>
            </w:pPr>
            <w:r>
              <w:rPr>
                <w:rFonts w:hint="eastAsia" w:ascii="黑体" w:hAnsi="黑体" w:eastAsia="黑体"/>
                <w:sz w:val="18"/>
                <w:szCs w:val="18"/>
              </w:rPr>
              <w:t>投资理财综合实训室</w:t>
            </w:r>
          </w:p>
        </w:tc>
        <w:tc>
          <w:tcPr>
            <w:tcW w:w="356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银行、股票、保险、债券、基金</w:t>
            </w:r>
            <w:r>
              <w:rPr>
                <w:rFonts w:hint="eastAsia" w:ascii="黑体" w:hAnsi="黑体" w:eastAsia="黑体"/>
                <w:sz w:val="18"/>
                <w:szCs w:val="18"/>
                <w:lang w:eastAsia="zh-CN"/>
              </w:rPr>
              <w:t>、</w:t>
            </w:r>
            <w:r>
              <w:rPr>
                <w:rFonts w:hint="eastAsia" w:ascii="黑体" w:hAnsi="黑体" w:eastAsia="黑体"/>
                <w:sz w:val="18"/>
                <w:szCs w:val="18"/>
              </w:rPr>
              <w:t>金融衍生品等</w:t>
            </w:r>
            <w:r>
              <w:rPr>
                <w:rFonts w:hint="eastAsia" w:ascii="黑体" w:hAnsi="黑体" w:eastAsia="黑体"/>
                <w:sz w:val="18"/>
                <w:szCs w:val="18"/>
                <w:lang w:eastAsia="zh-CN"/>
              </w:rPr>
              <w:t>财富管理</w:t>
            </w:r>
            <w:r>
              <w:rPr>
                <w:rFonts w:hint="eastAsia" w:ascii="黑体" w:hAnsi="黑体" w:eastAsia="黑体"/>
                <w:sz w:val="18"/>
                <w:szCs w:val="18"/>
              </w:rPr>
              <w:t>产品投资实训</w:t>
            </w:r>
          </w:p>
        </w:tc>
        <w:tc>
          <w:tcPr>
            <w:tcW w:w="142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both"/>
              <w:rPr>
                <w:rFonts w:ascii="黑体" w:hAnsi="黑体" w:eastAsia="黑体"/>
                <w:sz w:val="21"/>
                <w:szCs w:val="21"/>
              </w:rPr>
            </w:pPr>
            <w:r>
              <w:rPr>
                <w:rFonts w:hint="eastAsia" w:ascii="黑体" w:hAnsi="黑体" w:eastAsia="黑体"/>
                <w:sz w:val="21"/>
                <w:szCs w:val="21"/>
              </w:rPr>
              <w:t>规划建设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3</w:t>
            </w:r>
          </w:p>
        </w:tc>
        <w:tc>
          <w:tcPr>
            <w:tcW w:w="3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sz w:val="18"/>
                <w:szCs w:val="18"/>
              </w:rPr>
            </w:pPr>
            <w:r>
              <w:rPr>
                <w:rFonts w:hint="eastAsia" w:ascii="黑体" w:hAnsi="黑体" w:eastAsia="黑体"/>
                <w:sz w:val="18"/>
                <w:szCs w:val="18"/>
              </w:rPr>
              <w:t>金融服务营销实训室</w:t>
            </w:r>
          </w:p>
        </w:tc>
        <w:tc>
          <w:tcPr>
            <w:tcW w:w="356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通过各金融产品的认知了解，开展沟通、应变、分析、服务等营销实训</w:t>
            </w:r>
          </w:p>
        </w:tc>
        <w:tc>
          <w:tcPr>
            <w:tcW w:w="142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both"/>
              <w:rPr>
                <w:rFonts w:ascii="黑体" w:hAnsi="黑体" w:eastAsia="黑体"/>
                <w:sz w:val="21"/>
                <w:szCs w:val="21"/>
              </w:rPr>
            </w:pPr>
            <w:r>
              <w:rPr>
                <w:rFonts w:hint="eastAsia" w:ascii="黑体" w:hAnsi="黑体" w:eastAsia="黑体"/>
                <w:sz w:val="21"/>
                <w:szCs w:val="21"/>
              </w:rPr>
              <w:t>规划建设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4</w:t>
            </w:r>
          </w:p>
        </w:tc>
        <w:tc>
          <w:tcPr>
            <w:tcW w:w="3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sz w:val="18"/>
                <w:szCs w:val="18"/>
              </w:rPr>
            </w:pPr>
            <w:r>
              <w:rPr>
                <w:rFonts w:hint="eastAsia" w:ascii="黑体" w:hAnsi="黑体" w:eastAsia="黑体"/>
                <w:sz w:val="18"/>
                <w:szCs w:val="18"/>
              </w:rPr>
              <w:t>数据挖掘与分析实训</w:t>
            </w:r>
          </w:p>
        </w:tc>
        <w:tc>
          <w:tcPr>
            <w:tcW w:w="356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sz w:val="18"/>
                <w:szCs w:val="18"/>
              </w:rPr>
            </w:pPr>
            <w:r>
              <w:rPr>
                <w:rFonts w:hint="eastAsia" w:ascii="黑体" w:hAnsi="黑体" w:eastAsia="黑体"/>
                <w:sz w:val="18"/>
                <w:szCs w:val="18"/>
              </w:rPr>
              <w:t>开展金融数据的收集、清洗、处理、分析、展现、报告撰写等综合性实训</w:t>
            </w:r>
          </w:p>
        </w:tc>
        <w:tc>
          <w:tcPr>
            <w:tcW w:w="142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both"/>
              <w:rPr>
                <w:rFonts w:ascii="黑体" w:hAnsi="黑体" w:eastAsia="黑体"/>
                <w:sz w:val="21"/>
                <w:szCs w:val="21"/>
              </w:rPr>
            </w:pPr>
            <w:r>
              <w:rPr>
                <w:rFonts w:hint="eastAsia" w:ascii="黑体" w:hAnsi="黑体" w:eastAsia="黑体"/>
                <w:sz w:val="21"/>
                <w:szCs w:val="21"/>
              </w:rPr>
              <w:t>规划建设</w:t>
            </w:r>
          </w:p>
        </w:tc>
      </w:tr>
    </w:tbl>
    <w:p>
      <w:pPr>
        <w:pStyle w:val="10"/>
        <w:spacing w:beforeAutospacing="0" w:after="156" w:afterLines="50" w:afterAutospacing="0" w:line="500" w:lineRule="exact"/>
        <w:ind w:firstLine="442"/>
        <w:jc w:val="center"/>
        <w:rPr>
          <w:rFonts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8</w:t>
      </w:r>
      <w:r>
        <w:rPr>
          <w:rFonts w:hint="eastAsia" w:ascii="仿宋" w:hAnsi="仿宋" w:eastAsia="仿宋" w:cs="仿宋"/>
          <w:b/>
          <w:bCs/>
          <w:sz w:val="22"/>
          <w:szCs w:val="22"/>
        </w:rPr>
        <w:t>.校外实践教学基地介绍</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24"/>
        <w:gridCol w:w="3467"/>
        <w:gridCol w:w="3723"/>
        <w:gridCol w:w="9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8"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序号</w:t>
            </w:r>
          </w:p>
        </w:tc>
        <w:tc>
          <w:tcPr>
            <w:tcW w:w="3467" w:type="dxa"/>
            <w:tcBorders>
              <w:top w:val="single" w:color="auto" w:sz="8"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校外实习基地名称（企业名称）</w:t>
            </w:r>
          </w:p>
        </w:tc>
        <w:tc>
          <w:tcPr>
            <w:tcW w:w="3723" w:type="dxa"/>
            <w:tcBorders>
              <w:top w:val="single" w:color="auto" w:sz="8"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完成的实践教学内容</w:t>
            </w:r>
          </w:p>
        </w:tc>
        <w:tc>
          <w:tcPr>
            <w:tcW w:w="958" w:type="dxa"/>
            <w:tcBorders>
              <w:top w:val="single" w:color="auto" w:sz="8" w:space="0"/>
              <w:left w:val="single" w:color="auto" w:sz="4" w:space="0"/>
              <w:bottom w:val="single" w:color="auto" w:sz="4" w:space="0"/>
              <w:right w:val="single" w:color="auto" w:sz="8" w:space="0"/>
            </w:tcBorders>
            <w:vAlign w:val="center"/>
          </w:tcPr>
          <w:p>
            <w:pPr>
              <w:spacing w:line="300" w:lineRule="exact"/>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1</w:t>
            </w:r>
          </w:p>
        </w:tc>
        <w:tc>
          <w:tcPr>
            <w:tcW w:w="346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重庆银行大足支行</w:t>
            </w:r>
          </w:p>
        </w:tc>
        <w:tc>
          <w:tcPr>
            <w:tcW w:w="37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金融营销、客户维护、投资与理财</w:t>
            </w:r>
          </w:p>
        </w:tc>
        <w:tc>
          <w:tcPr>
            <w:tcW w:w="95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2</w:t>
            </w:r>
          </w:p>
        </w:tc>
        <w:tc>
          <w:tcPr>
            <w:tcW w:w="346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中国民生银行重庆大足小微支行</w:t>
            </w:r>
          </w:p>
        </w:tc>
        <w:tc>
          <w:tcPr>
            <w:tcW w:w="3723" w:type="dxa"/>
            <w:tcBorders>
              <w:top w:val="single" w:color="auto" w:sz="4" w:space="0"/>
              <w:left w:val="single" w:color="auto" w:sz="4" w:space="0"/>
              <w:bottom w:val="single" w:color="auto" w:sz="4" w:space="0"/>
              <w:right w:val="single" w:color="auto" w:sz="4" w:space="0"/>
            </w:tcBorders>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金融营销、客户拓展、投资与理财</w:t>
            </w:r>
          </w:p>
        </w:tc>
        <w:tc>
          <w:tcPr>
            <w:tcW w:w="95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3</w:t>
            </w:r>
          </w:p>
        </w:tc>
        <w:tc>
          <w:tcPr>
            <w:tcW w:w="346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安信证券重庆大足营业部</w:t>
            </w:r>
          </w:p>
        </w:tc>
        <w:tc>
          <w:tcPr>
            <w:tcW w:w="3723" w:type="dxa"/>
            <w:tcBorders>
              <w:top w:val="single" w:color="auto" w:sz="4" w:space="0"/>
              <w:left w:val="single" w:color="auto" w:sz="4" w:space="0"/>
              <w:bottom w:val="single" w:color="auto" w:sz="4" w:space="0"/>
              <w:right w:val="single" w:color="auto" w:sz="4" w:space="0"/>
            </w:tcBorders>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金融营销、客户服务、投资与理财</w:t>
            </w:r>
          </w:p>
        </w:tc>
        <w:tc>
          <w:tcPr>
            <w:tcW w:w="95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4</w:t>
            </w:r>
          </w:p>
        </w:tc>
        <w:tc>
          <w:tcPr>
            <w:tcW w:w="346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中国人寿保险大足支公司</w:t>
            </w:r>
          </w:p>
        </w:tc>
        <w:tc>
          <w:tcPr>
            <w:tcW w:w="3723" w:type="dxa"/>
            <w:tcBorders>
              <w:top w:val="single" w:color="auto" w:sz="4" w:space="0"/>
              <w:left w:val="single" w:color="auto" w:sz="4" w:space="0"/>
              <w:bottom w:val="single" w:color="auto" w:sz="4" w:space="0"/>
              <w:right w:val="single" w:color="auto" w:sz="4" w:space="0"/>
            </w:tcBorders>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保险产品营销、客户服务、金融数据统计分析</w:t>
            </w:r>
          </w:p>
        </w:tc>
        <w:tc>
          <w:tcPr>
            <w:tcW w:w="95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spacing w:line="300" w:lineRule="exact"/>
              <w:ind w:firstLine="0" w:firstLineChars="0"/>
              <w:jc w:val="center"/>
              <w:rPr>
                <w:rFonts w:ascii="黑体" w:hAnsi="黑体" w:eastAsia="黑体"/>
                <w:sz w:val="18"/>
                <w:szCs w:val="18"/>
              </w:rPr>
            </w:pPr>
            <w:r>
              <w:rPr>
                <w:rFonts w:hint="eastAsia" w:ascii="黑体" w:hAnsi="黑体" w:eastAsia="黑体"/>
                <w:sz w:val="18"/>
                <w:szCs w:val="18"/>
              </w:rPr>
              <w:t>5</w:t>
            </w:r>
          </w:p>
        </w:tc>
        <w:tc>
          <w:tcPr>
            <w:tcW w:w="346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马上消费金融股份有限公司</w:t>
            </w:r>
          </w:p>
        </w:tc>
        <w:tc>
          <w:tcPr>
            <w:tcW w:w="3723" w:type="dxa"/>
            <w:tcBorders>
              <w:top w:val="single" w:color="auto" w:sz="4" w:space="0"/>
              <w:left w:val="single" w:color="auto" w:sz="4" w:space="0"/>
              <w:bottom w:val="single" w:color="auto" w:sz="4" w:space="0"/>
              <w:right w:val="single" w:color="auto" w:sz="4" w:space="0"/>
            </w:tcBorders>
          </w:tcPr>
          <w:p>
            <w:pPr>
              <w:tabs>
                <w:tab w:val="center" w:pos="4153"/>
                <w:tab w:val="right" w:pos="8306"/>
              </w:tabs>
              <w:spacing w:line="300" w:lineRule="exact"/>
              <w:ind w:firstLine="0" w:firstLineChars="0"/>
              <w:jc w:val="center"/>
              <w:rPr>
                <w:rFonts w:ascii="黑体" w:hAnsi="黑体" w:eastAsia="黑体"/>
                <w:sz w:val="18"/>
                <w:szCs w:val="18"/>
              </w:rPr>
            </w:pPr>
            <w:r>
              <w:rPr>
                <w:rFonts w:hint="eastAsia" w:ascii="黑体" w:hAnsi="黑体" w:eastAsia="黑体"/>
                <w:sz w:val="18"/>
                <w:szCs w:val="18"/>
              </w:rPr>
              <w:t>普惠金融、消费金融产品的推广营销活动</w:t>
            </w:r>
          </w:p>
        </w:tc>
        <w:tc>
          <w:tcPr>
            <w:tcW w:w="958"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jc w:val="center"/>
              <w:rPr>
                <w:rFonts w:ascii="黑体" w:hAnsi="黑体" w:eastAsia="黑体"/>
                <w:sz w:val="21"/>
                <w:szCs w:val="21"/>
              </w:rPr>
            </w:pPr>
          </w:p>
        </w:tc>
      </w:tr>
    </w:tbl>
    <w:p>
      <w:pPr>
        <w:pStyle w:val="8"/>
        <w:ind w:firstLine="640"/>
        <w:rPr>
          <w:rFonts w:ascii="楷体" w:hAnsi="楷体" w:eastAsia="楷体" w:cs="仿宋"/>
          <w:kern w:val="0"/>
          <w:sz w:val="32"/>
        </w:rPr>
      </w:pPr>
      <w:r>
        <w:rPr>
          <w:rFonts w:hint="eastAsia" w:ascii="楷体" w:hAnsi="楷体" w:eastAsia="楷体" w:cs="仿宋"/>
          <w:kern w:val="0"/>
          <w:sz w:val="32"/>
        </w:rPr>
        <w:t>（三）教学资源</w:t>
      </w:r>
    </w:p>
    <w:p>
      <w:pPr>
        <w:ind w:firstLine="560"/>
        <w:rPr>
          <w:rFonts w:ascii="仿宋" w:hAnsi="仿宋" w:eastAsia="仿宋" w:cs="仿宋"/>
          <w:kern w:val="0"/>
          <w:sz w:val="28"/>
          <w:szCs w:val="28"/>
        </w:rPr>
      </w:pPr>
      <w:r>
        <w:rPr>
          <w:rFonts w:hint="eastAsia" w:ascii="仿宋" w:hAnsi="仿宋" w:eastAsia="仿宋" w:cs="仿宋"/>
          <w:kern w:val="0"/>
          <w:sz w:val="28"/>
          <w:szCs w:val="28"/>
        </w:rPr>
        <w:t>1．教材选用</w:t>
      </w:r>
    </w:p>
    <w:p>
      <w:pPr>
        <w:ind w:firstLine="560"/>
        <w:rPr>
          <w:rFonts w:ascii="仿宋" w:hAnsi="仿宋" w:eastAsia="仿宋" w:cs="仿宋"/>
          <w:kern w:val="0"/>
          <w:sz w:val="28"/>
          <w:szCs w:val="28"/>
        </w:rPr>
      </w:pPr>
      <w:r>
        <w:rPr>
          <w:rFonts w:hint="eastAsia" w:ascii="仿宋" w:hAnsi="仿宋" w:eastAsia="仿宋" w:cs="仿宋"/>
          <w:kern w:val="0"/>
          <w:sz w:val="28"/>
          <w:szCs w:val="28"/>
        </w:rPr>
        <w:t>按照国家规定选用优质教材，如教育部规划教材、行业精品教材等。</w:t>
      </w:r>
    </w:p>
    <w:p>
      <w:pPr>
        <w:ind w:firstLine="560"/>
        <w:rPr>
          <w:rFonts w:ascii="仿宋" w:hAnsi="仿宋" w:eastAsia="仿宋" w:cs="仿宋"/>
          <w:kern w:val="0"/>
          <w:sz w:val="28"/>
          <w:szCs w:val="28"/>
        </w:rPr>
      </w:pPr>
      <w:r>
        <w:rPr>
          <w:rFonts w:hint="eastAsia" w:ascii="仿宋" w:hAnsi="仿宋" w:eastAsia="仿宋" w:cs="仿宋"/>
          <w:kern w:val="0"/>
          <w:sz w:val="28"/>
          <w:szCs w:val="28"/>
        </w:rPr>
        <w:t>2.教材、图书和数字资源课程应根据我专业人才培养方案的课程体系，对适应该课程的同类教材多方面进行充分比较，可主要选取如：中国金融出版社、中国人民大学出版社、人民邮电大学出版社等以财经类出版为主的优质出版社教材，建立教材、课件、视频、动画、仿真虚拟软件、实训应用为主的教学资源库。同时可以根据需要组织校内专业课教师与校外企业专业人员、仿真虚拟软件方等共同编写校本教材，丰富教学资源。</w:t>
      </w:r>
    </w:p>
    <w:p>
      <w:pPr>
        <w:numPr>
          <w:ilvl w:val="0"/>
          <w:numId w:val="0"/>
        </w:numPr>
        <w:ind w:firstLine="560" w:firstLineChars="200"/>
        <w:rPr>
          <w:rFonts w:hint="eastAsia" w:ascii="仿宋" w:hAnsi="仿宋" w:eastAsia="仿宋" w:cs="仿宋"/>
          <w:color w:val="FF0000"/>
          <w:kern w:val="0"/>
          <w:sz w:val="28"/>
          <w:szCs w:val="28"/>
        </w:rPr>
      </w:pPr>
      <w:r>
        <w:rPr>
          <w:rFonts w:hint="eastAsia" w:ascii="仿宋" w:hAnsi="仿宋" w:eastAsia="仿宋" w:cs="仿宋"/>
          <w:bCs w:val="0"/>
          <w:color w:val="auto"/>
          <w:kern w:val="0"/>
          <w:sz w:val="28"/>
          <w:szCs w:val="28"/>
          <w:lang w:val="en-US" w:eastAsia="zh-CN" w:bidi="ar-SA"/>
        </w:rPr>
        <w:t>通过对多种教学资源的开拓与完善基本能够满足学生专业学习、教师专业教学研究、教学实施和社会服务需要。</w:t>
      </w:r>
    </w:p>
    <w:p>
      <w:pPr>
        <w:pStyle w:val="8"/>
        <w:ind w:firstLine="640"/>
        <w:rPr>
          <w:rFonts w:ascii="楷体" w:hAnsi="楷体" w:eastAsia="楷体" w:cs="仿宋"/>
          <w:kern w:val="0"/>
          <w:sz w:val="32"/>
        </w:rPr>
      </w:pPr>
      <w:r>
        <w:rPr>
          <w:rFonts w:hint="eastAsia" w:ascii="楷体" w:hAnsi="楷体" w:eastAsia="楷体" w:cs="仿宋"/>
          <w:kern w:val="0"/>
          <w:sz w:val="32"/>
        </w:rPr>
        <w:t>（四）教学方法</w:t>
      </w:r>
    </w:p>
    <w:p>
      <w:pPr>
        <w:ind w:firstLine="560"/>
        <w:rPr>
          <w:rFonts w:ascii="仿宋" w:hAnsi="仿宋" w:eastAsia="仿宋" w:cs="仿宋"/>
          <w:kern w:val="0"/>
          <w:sz w:val="28"/>
          <w:szCs w:val="28"/>
        </w:rPr>
      </w:pPr>
      <w:r>
        <w:rPr>
          <w:rFonts w:hint="eastAsia" w:ascii="仿宋" w:hAnsi="仿宋" w:eastAsia="仿宋" w:cs="仿宋"/>
          <w:kern w:val="0"/>
          <w:sz w:val="28"/>
          <w:szCs w:val="28"/>
        </w:rPr>
        <w:t>按照职业教育规律，结合我校对专业人才培养的特点，以提高教育教学质量为目标，组织专业教学团队运用现代教育教学技术，结合专业课程特色改革教学方法，遵循以“学生主体、教师主导”的授课理念，培养学生职业能力和综合素养。培训提升教师使用信息化、教学课件、虚拟仿真软件、活页式教材、1+X实训平台等专业教学资源库的能力，采用知识讲授、</w:t>
      </w:r>
      <w:r>
        <w:rPr>
          <w:rFonts w:hint="eastAsia" w:ascii="仿宋" w:hAnsi="仿宋" w:eastAsia="仿宋" w:cs="仿宋"/>
          <w:kern w:val="0"/>
          <w:sz w:val="28"/>
          <w:szCs w:val="28"/>
          <w:lang w:eastAsia="zh-CN"/>
        </w:rPr>
        <w:t>翻转课堂</w:t>
      </w:r>
      <w:r>
        <w:rPr>
          <w:rFonts w:hint="eastAsia" w:ascii="仿宋" w:hAnsi="仿宋" w:eastAsia="仿宋" w:cs="仿宋"/>
          <w:kern w:val="0"/>
          <w:sz w:val="28"/>
          <w:szCs w:val="28"/>
        </w:rPr>
        <w:t>、情境教学、项目</w:t>
      </w:r>
      <w:r>
        <w:rPr>
          <w:rFonts w:hint="eastAsia" w:ascii="仿宋" w:hAnsi="仿宋" w:eastAsia="仿宋" w:cs="仿宋"/>
          <w:kern w:val="0"/>
          <w:sz w:val="28"/>
          <w:szCs w:val="28"/>
          <w:lang w:eastAsia="zh-CN"/>
        </w:rPr>
        <w:t>驱动</w:t>
      </w:r>
      <w:r>
        <w:rPr>
          <w:rFonts w:hint="eastAsia" w:ascii="仿宋" w:hAnsi="仿宋" w:eastAsia="仿宋" w:cs="仿宋"/>
          <w:kern w:val="0"/>
          <w:sz w:val="28"/>
          <w:szCs w:val="28"/>
        </w:rPr>
        <w:t>教学、</w:t>
      </w:r>
      <w:r>
        <w:rPr>
          <w:rFonts w:hint="eastAsia" w:ascii="仿宋" w:hAnsi="仿宋" w:eastAsia="仿宋" w:cs="仿宋"/>
          <w:kern w:val="0"/>
          <w:sz w:val="28"/>
          <w:szCs w:val="28"/>
          <w:lang w:eastAsia="zh-CN"/>
        </w:rPr>
        <w:t>分组教学</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移动端互动教学</w:t>
      </w:r>
      <w:r>
        <w:rPr>
          <w:rFonts w:hint="eastAsia" w:ascii="仿宋" w:hAnsi="仿宋" w:eastAsia="仿宋" w:cs="仿宋"/>
          <w:kern w:val="0"/>
          <w:sz w:val="28"/>
          <w:szCs w:val="28"/>
        </w:rPr>
        <w:t>、技能实训等多种形式，综合运用讲授、演示、举例、归纳、演绎、讨论、</w:t>
      </w:r>
      <w:r>
        <w:rPr>
          <w:rFonts w:hint="eastAsia" w:ascii="仿宋" w:hAnsi="仿宋" w:eastAsia="仿宋" w:cs="仿宋"/>
          <w:kern w:val="0"/>
          <w:sz w:val="28"/>
          <w:szCs w:val="28"/>
          <w:lang w:eastAsia="zh-CN"/>
        </w:rPr>
        <w:t>探究、</w:t>
      </w:r>
      <w:r>
        <w:rPr>
          <w:rFonts w:hint="eastAsia" w:ascii="仿宋" w:hAnsi="仿宋" w:eastAsia="仿宋" w:cs="仿宋"/>
          <w:kern w:val="0"/>
          <w:sz w:val="28"/>
          <w:szCs w:val="28"/>
        </w:rPr>
        <w:t>练习、实操等多种手段实施教学，坚持学中做、做中学，能做到因材施教，以学生为教学主体的创新教学方法、提升人才培养质量。</w:t>
      </w:r>
    </w:p>
    <w:p>
      <w:pPr>
        <w:pStyle w:val="8"/>
        <w:ind w:firstLine="640"/>
        <w:rPr>
          <w:rFonts w:hint="eastAsia" w:ascii="仿宋" w:hAnsi="仿宋" w:eastAsia="仿宋" w:cs="仿宋"/>
          <w:sz w:val="28"/>
          <w:szCs w:val="28"/>
        </w:rPr>
      </w:pPr>
      <w:r>
        <w:rPr>
          <w:rFonts w:hint="eastAsia" w:ascii="楷体" w:hAnsi="楷体" w:eastAsia="楷体" w:cs="仿宋"/>
          <w:kern w:val="0"/>
          <w:sz w:val="32"/>
        </w:rPr>
        <w:t>（五）教学评价</w:t>
      </w:r>
    </w:p>
    <w:p>
      <w:pPr>
        <w:pStyle w:val="8"/>
        <w:ind w:firstLine="640"/>
        <w:rPr>
          <w:rFonts w:hint="eastAsia" w:ascii="仿宋" w:hAnsi="仿宋" w:eastAsia="仿宋" w:cs="仿宋"/>
          <w:bCs w:val="0"/>
          <w:kern w:val="0"/>
          <w:sz w:val="28"/>
          <w:szCs w:val="28"/>
          <w:lang w:val="en-US" w:eastAsia="zh-CN" w:bidi="ar-SA"/>
        </w:rPr>
      </w:pPr>
      <w:r>
        <w:rPr>
          <w:rFonts w:hint="eastAsia" w:ascii="仿宋" w:hAnsi="仿宋" w:eastAsia="仿宋" w:cs="仿宋"/>
          <w:bCs w:val="0"/>
          <w:kern w:val="0"/>
          <w:sz w:val="28"/>
          <w:szCs w:val="28"/>
          <w:lang w:val="en-US" w:eastAsia="zh-CN" w:bidi="ar-SA"/>
        </w:rPr>
        <w:t>加强本专业学习评价体系的建设与改革，发挥考核评价在教学活动中的显示、反馈和指挥棒功能，建立“考试形式与教学内容、能力培养相适应的”学习评价模式。考核注重对学生运用知识能力的评价、实践操作能力的评价、教学参与度的评价、创新精神的评价、整个学习过程的参与度评价。对学生的学习评价不仅要关注学生学习的结果，还要把学生在学习过程中主动参与程度、与同学合作交流的意识与态度也作为评价重点，同时注重学生人文素养和道德修养的综合提高。探索制定出一套符合我专业的期末教学、课程技能实训、专业认知实习、跟岗实习、顶岗实习、毕业实践报告的考核办法与评分标准。</w:t>
      </w:r>
    </w:p>
    <w:p>
      <w:pPr>
        <w:pStyle w:val="8"/>
        <w:ind w:firstLine="640"/>
        <w:rPr>
          <w:rFonts w:ascii="楷体" w:hAnsi="楷体" w:eastAsia="楷体" w:cs="仿宋"/>
          <w:kern w:val="0"/>
          <w:sz w:val="32"/>
        </w:rPr>
      </w:pPr>
      <w:r>
        <w:rPr>
          <w:rFonts w:hint="eastAsia" w:ascii="楷体" w:hAnsi="楷体" w:eastAsia="楷体" w:cs="仿宋"/>
          <w:kern w:val="0"/>
          <w:sz w:val="32"/>
        </w:rPr>
        <w:t>（六）教学质量监控与保障</w:t>
      </w:r>
    </w:p>
    <w:p>
      <w:pPr>
        <w:spacing w:line="576" w:lineRule="exact"/>
        <w:ind w:firstLine="56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学校和二级学院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76" w:lineRule="exact"/>
        <w:ind w:firstLine="56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学校、二级院系及专业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76" w:lineRule="exact"/>
        <w:ind w:firstLine="56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学校建立毕业生跟踪反馈机制及社会评价机制，并对生源情况、在校生学业水平、毕业生就业情况等进行分析，定期评价人才培养质量和培养目标达成情况。</w:t>
      </w:r>
    </w:p>
    <w:p>
      <w:pPr>
        <w:spacing w:line="576" w:lineRule="exact"/>
        <w:ind w:firstLine="56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专业教研组织充分利用评价分析结果有效改进专业教学，针对人才培养过程中存在的问题，进行诊断与改进，持续提高人才培养质量。</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九、毕业要求</w:t>
      </w:r>
    </w:p>
    <w:p>
      <w:pPr>
        <w:ind w:firstLine="56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本专业学生在规定学习年限内获得最低毕业总学分，</w:t>
      </w:r>
      <w:r>
        <w:rPr>
          <w:rFonts w:hint="eastAsia" w:ascii="仿宋" w:hAnsi="仿宋" w:eastAsia="仿宋" w:cs="仿宋"/>
          <w:color w:val="auto"/>
          <w:sz w:val="28"/>
          <w:szCs w:val="28"/>
          <w:shd w:val="clear" w:color="auto" w:fill="FFFFFF"/>
          <w:lang w:val="en-US" w:eastAsia="zh-CN"/>
        </w:rPr>
        <w:t>同时</w:t>
      </w:r>
      <w:r>
        <w:rPr>
          <w:rFonts w:hint="eastAsia" w:ascii="仿宋" w:hAnsi="仿宋" w:eastAsia="仿宋" w:cs="仿宋"/>
          <w:color w:val="auto"/>
          <w:sz w:val="28"/>
          <w:szCs w:val="28"/>
          <w:shd w:val="clear" w:color="auto" w:fill="FFFFFF"/>
        </w:rPr>
        <w:t>符合《重庆资源与环境保护职业学院职业学院学籍管理规定》的相关要求，建议取得相应的职业资格证书，思想品德经鉴定符合要求，准予毕业。具体要求如下：</w:t>
      </w:r>
    </w:p>
    <w:p>
      <w:pPr>
        <w:ind w:firstLine="56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1.修业三年，最低毕业总学分为1</w:t>
      </w:r>
      <w:r>
        <w:rPr>
          <w:rFonts w:hint="eastAsia" w:ascii="仿宋" w:hAnsi="仿宋" w:eastAsia="仿宋" w:cs="仿宋"/>
          <w:color w:val="auto"/>
          <w:sz w:val="28"/>
          <w:szCs w:val="28"/>
          <w:shd w:val="clear" w:color="auto" w:fill="FFFFFF"/>
          <w:lang w:val="en-US" w:eastAsia="zh-CN"/>
        </w:rPr>
        <w:t>45</w:t>
      </w:r>
      <w:r>
        <w:rPr>
          <w:rFonts w:hint="eastAsia" w:ascii="仿宋" w:hAnsi="仿宋" w:eastAsia="仿宋" w:cs="仿宋"/>
          <w:color w:val="auto"/>
          <w:sz w:val="28"/>
          <w:szCs w:val="28"/>
          <w:shd w:val="clear" w:color="auto" w:fill="FFFFFF"/>
        </w:rPr>
        <w:t>学分，其中必修课13</w:t>
      </w:r>
      <w:r>
        <w:rPr>
          <w:rFonts w:hint="eastAsia" w:ascii="仿宋" w:hAnsi="仿宋" w:eastAsia="仿宋" w:cs="仿宋"/>
          <w:color w:val="auto"/>
          <w:sz w:val="28"/>
          <w:szCs w:val="28"/>
          <w:shd w:val="clear" w:color="auto" w:fill="FFFFFF"/>
          <w:lang w:val="en-US" w:eastAsia="zh-CN"/>
        </w:rPr>
        <w:t>1</w:t>
      </w:r>
      <w:r>
        <w:rPr>
          <w:rFonts w:hint="eastAsia" w:ascii="仿宋" w:hAnsi="仿宋" w:eastAsia="仿宋" w:cs="仿宋"/>
          <w:color w:val="auto"/>
          <w:sz w:val="28"/>
          <w:szCs w:val="28"/>
          <w:shd w:val="clear" w:color="auto" w:fill="FFFFFF"/>
        </w:rPr>
        <w:t>学分，选修课</w:t>
      </w:r>
      <w:r>
        <w:rPr>
          <w:rFonts w:hint="eastAsia" w:ascii="仿宋" w:hAnsi="仿宋" w:eastAsia="仿宋" w:cs="仿宋"/>
          <w:color w:val="auto"/>
          <w:sz w:val="28"/>
          <w:szCs w:val="28"/>
          <w:shd w:val="clear" w:color="auto" w:fill="FFFFFF"/>
          <w:lang w:val="en-US" w:eastAsia="zh-CN"/>
        </w:rPr>
        <w:t>14</w:t>
      </w:r>
      <w:r>
        <w:rPr>
          <w:rFonts w:hint="eastAsia" w:ascii="仿宋" w:hAnsi="仿宋" w:eastAsia="仿宋" w:cs="仿宋"/>
          <w:color w:val="auto"/>
          <w:sz w:val="28"/>
          <w:szCs w:val="28"/>
          <w:shd w:val="clear" w:color="auto" w:fill="FFFFFF"/>
        </w:rPr>
        <w:t>学分。</w:t>
      </w:r>
    </w:p>
    <w:p>
      <w:pPr>
        <w:ind w:firstLine="56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2.建议学生毕业应取得以下证书之一：</w:t>
      </w:r>
    </w:p>
    <w:p>
      <w:pPr>
        <w:ind w:firstLine="56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（1）普通话二级乙等及以上证书、全国高等学校英语应用能力考试A/B级证书、计算机一级证书</w:t>
      </w:r>
    </w:p>
    <w:p>
      <w:pPr>
        <w:ind w:firstLine="560"/>
        <w:rPr>
          <w:rFonts w:ascii="仿宋" w:hAnsi="仿宋" w:eastAsia="仿宋" w:cs="仿宋"/>
          <w:color w:val="FF0000"/>
          <w:sz w:val="28"/>
          <w:szCs w:val="28"/>
          <w:shd w:val="clear" w:color="auto" w:fill="FFFFFF"/>
        </w:rPr>
      </w:pPr>
      <w:r>
        <w:rPr>
          <w:rFonts w:hint="eastAsia" w:ascii="仿宋" w:hAnsi="仿宋" w:eastAsia="仿宋" w:cs="仿宋"/>
          <w:color w:val="auto"/>
          <w:sz w:val="28"/>
          <w:szCs w:val="28"/>
          <w:shd w:val="clear" w:color="auto" w:fill="FFFFFF"/>
        </w:rPr>
        <w:t>（2）与本专业相关的职业资格证书，比如经济专业技术资格、银行业专业人员职业资格、会计职业资格证书、证券期货基金业从业资格证书、1+X大数据财务分析初级证书、1+X金融智能投顾初级证书、1+X金融大数据处理初级证书等。</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十、专业学习深造建议</w:t>
      </w:r>
    </w:p>
    <w:p>
      <w:pPr>
        <w:ind w:firstLine="56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学生可通过专升本考试进入其他院校进行本科（金融学、金融工程、</w:t>
      </w:r>
      <w:r>
        <w:rPr>
          <w:rFonts w:hint="eastAsia" w:ascii="仿宋" w:hAnsi="仿宋" w:eastAsia="仿宋" w:cs="仿宋"/>
          <w:color w:val="auto"/>
          <w:sz w:val="28"/>
          <w:szCs w:val="28"/>
          <w:shd w:val="clear" w:color="auto" w:fill="FFFFFF"/>
          <w:lang w:eastAsia="zh-CN"/>
        </w:rPr>
        <w:t>投资学、保险学</w:t>
      </w:r>
      <w:r>
        <w:rPr>
          <w:rFonts w:hint="eastAsia" w:ascii="仿宋" w:hAnsi="仿宋" w:eastAsia="仿宋" w:cs="仿宋"/>
          <w:color w:val="auto"/>
          <w:sz w:val="28"/>
          <w:szCs w:val="28"/>
          <w:shd w:val="clear" w:color="auto" w:fill="FFFFFF"/>
        </w:rPr>
        <w:t>、金融科技等专业）学习，从而拿到本科文凭。还可以通过专衔本的方式，在专科学习期间学习本科知识，通过专业考试后取得本科学历。</w:t>
      </w:r>
    </w:p>
    <w:p>
      <w:pPr>
        <w:spacing w:line="576" w:lineRule="exact"/>
        <w:ind w:firstLine="640"/>
        <w:jc w:val="left"/>
        <w:rPr>
          <w:rFonts w:ascii="黑体" w:hAnsi="黑体" w:eastAsia="黑体" w:cs="仿宋_GB2312"/>
          <w:sz w:val="32"/>
          <w:szCs w:val="32"/>
        </w:rPr>
      </w:pPr>
      <w:r>
        <w:rPr>
          <w:rFonts w:hint="eastAsia" w:ascii="黑体" w:hAnsi="黑体" w:eastAsia="黑体" w:cs="仿宋_GB2312"/>
          <w:sz w:val="32"/>
          <w:szCs w:val="32"/>
        </w:rPr>
        <w:t>十一、编制说明及附件</w:t>
      </w:r>
    </w:p>
    <w:p>
      <w:pPr>
        <w:ind w:firstLine="442"/>
        <w:jc w:val="center"/>
        <w:rPr>
          <w:rFonts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9</w:t>
      </w:r>
      <w:r>
        <w:rPr>
          <w:rFonts w:hint="eastAsia" w:ascii="仿宋" w:hAnsi="仿宋" w:eastAsia="仿宋" w:cs="仿宋"/>
          <w:b/>
          <w:bCs/>
          <w:sz w:val="22"/>
          <w:szCs w:val="22"/>
        </w:rPr>
        <w:t>.人才培养方案编制（评审）人员信息表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552"/>
        <w:gridCol w:w="1508"/>
        <w:gridCol w:w="1494"/>
        <w:gridCol w:w="213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237"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姓名</w:t>
            </w:r>
          </w:p>
        </w:tc>
        <w:tc>
          <w:tcPr>
            <w:tcW w:w="1552"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工作单位</w:t>
            </w:r>
          </w:p>
        </w:tc>
        <w:tc>
          <w:tcPr>
            <w:tcW w:w="1508"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职务/职称</w:t>
            </w:r>
          </w:p>
        </w:tc>
        <w:tc>
          <w:tcPr>
            <w:tcW w:w="1494"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主要</w:t>
            </w:r>
          </w:p>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承担工作</w:t>
            </w:r>
          </w:p>
        </w:tc>
        <w:tc>
          <w:tcPr>
            <w:tcW w:w="2136"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联系电话</w:t>
            </w:r>
          </w:p>
        </w:tc>
        <w:tc>
          <w:tcPr>
            <w:tcW w:w="1133" w:type="dxa"/>
            <w:vAlign w:val="center"/>
          </w:tcPr>
          <w:p>
            <w:pPr>
              <w:autoSpaceDE w:val="0"/>
              <w:autoSpaceDN w:val="0"/>
              <w:adjustRightInd w:val="0"/>
              <w:spacing w:line="576" w:lineRule="exact"/>
              <w:ind w:firstLine="0" w:firstLineChars="0"/>
              <w:jc w:val="center"/>
              <w:rPr>
                <w:rFonts w:ascii="仿宋" w:hAnsi="仿宋" w:eastAsia="仿宋" w:cs="仿宋"/>
                <w:b/>
                <w:sz w:val="22"/>
                <w:szCs w:val="22"/>
                <w:highlight w:val="none"/>
              </w:rPr>
            </w:pPr>
            <w:r>
              <w:rPr>
                <w:rFonts w:hint="eastAsia" w:ascii="仿宋" w:hAnsi="仿宋" w:eastAsia="仿宋" w:cs="仿宋"/>
                <w:b/>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白健</w:t>
            </w:r>
          </w:p>
        </w:tc>
        <w:tc>
          <w:tcPr>
            <w:tcW w:w="1552"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中国银行</w:t>
            </w:r>
          </w:p>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大足支行</w:t>
            </w:r>
          </w:p>
        </w:tc>
        <w:tc>
          <w:tcPr>
            <w:tcW w:w="1508"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支行行长/</w:t>
            </w:r>
          </w:p>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高级经济师</w:t>
            </w:r>
          </w:p>
        </w:tc>
        <w:tc>
          <w:tcPr>
            <w:tcW w:w="1494"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培养目标</w:t>
            </w:r>
          </w:p>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课程设置</w:t>
            </w:r>
          </w:p>
        </w:tc>
        <w:tc>
          <w:tcPr>
            <w:tcW w:w="2136"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13983921155</w:t>
            </w:r>
          </w:p>
        </w:tc>
        <w:tc>
          <w:tcPr>
            <w:tcW w:w="1133" w:type="dxa"/>
            <w:vAlign w:val="top"/>
          </w:tcPr>
          <w:p>
            <w:pPr>
              <w:autoSpaceDE w:val="0"/>
              <w:autoSpaceDN w:val="0"/>
              <w:adjustRightInd w:val="0"/>
              <w:spacing w:line="576" w:lineRule="exact"/>
              <w:ind w:firstLine="440" w:firstLineChars="200"/>
              <w:jc w:val="left"/>
              <w:rPr>
                <w:rFonts w:ascii="仿宋" w:hAnsi="仿宋" w:eastAsia="仿宋" w:cs="仿宋"/>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谷娟</w:t>
            </w:r>
          </w:p>
        </w:tc>
        <w:tc>
          <w:tcPr>
            <w:tcW w:w="1552"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安信证券</w:t>
            </w:r>
          </w:p>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大足营业部</w:t>
            </w:r>
          </w:p>
        </w:tc>
        <w:tc>
          <w:tcPr>
            <w:tcW w:w="1508"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营业部经理</w:t>
            </w:r>
          </w:p>
        </w:tc>
        <w:tc>
          <w:tcPr>
            <w:tcW w:w="1494"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课程设置</w:t>
            </w:r>
          </w:p>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岗位能力</w:t>
            </w:r>
          </w:p>
        </w:tc>
        <w:tc>
          <w:tcPr>
            <w:tcW w:w="2136" w:type="dxa"/>
            <w:vAlign w:val="top"/>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13228650416</w:t>
            </w:r>
          </w:p>
        </w:tc>
        <w:tc>
          <w:tcPr>
            <w:tcW w:w="1133" w:type="dxa"/>
            <w:vAlign w:val="top"/>
          </w:tcPr>
          <w:p>
            <w:pPr>
              <w:autoSpaceDE w:val="0"/>
              <w:autoSpaceDN w:val="0"/>
              <w:adjustRightInd w:val="0"/>
              <w:spacing w:line="576" w:lineRule="exact"/>
              <w:ind w:firstLine="440" w:firstLineChars="200"/>
              <w:jc w:val="left"/>
              <w:rPr>
                <w:rFonts w:ascii="仿宋" w:hAnsi="仿宋" w:eastAsia="仿宋" w:cs="仿宋"/>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徐文琪</w:t>
            </w:r>
          </w:p>
        </w:tc>
        <w:tc>
          <w:tcPr>
            <w:tcW w:w="1552" w:type="dxa"/>
            <w:vAlign w:val="top"/>
          </w:tcPr>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成都飞亚航空设备应用研究所有限公司</w:t>
            </w:r>
          </w:p>
        </w:tc>
        <w:tc>
          <w:tcPr>
            <w:tcW w:w="1508"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lang w:eastAsia="zh-CN"/>
              </w:rPr>
            </w:pPr>
            <w:r>
              <w:rPr>
                <w:rFonts w:hint="eastAsia" w:ascii="黑体" w:hAnsi="黑体" w:eastAsia="黑体"/>
                <w:sz w:val="18"/>
                <w:szCs w:val="18"/>
              </w:rPr>
              <w:t>证券事务代表/注册会计师</w:t>
            </w:r>
          </w:p>
        </w:tc>
        <w:tc>
          <w:tcPr>
            <w:tcW w:w="1494" w:type="dxa"/>
            <w:vAlign w:val="center"/>
          </w:tcPr>
          <w:p>
            <w:pPr>
              <w:tabs>
                <w:tab w:val="center" w:pos="4153"/>
                <w:tab w:val="right" w:pos="8306"/>
              </w:tabs>
              <w:spacing w:line="300" w:lineRule="exact"/>
              <w:ind w:firstLine="0" w:firstLineChars="0"/>
              <w:jc w:val="center"/>
              <w:rPr>
                <w:rFonts w:hint="eastAsia" w:ascii="黑体" w:hAnsi="黑体" w:eastAsia="黑体"/>
                <w:sz w:val="18"/>
                <w:szCs w:val="18"/>
              </w:rPr>
            </w:pPr>
            <w:r>
              <w:rPr>
                <w:rFonts w:hint="eastAsia" w:ascii="黑体" w:hAnsi="黑体" w:eastAsia="黑体"/>
                <w:sz w:val="18"/>
                <w:szCs w:val="18"/>
              </w:rPr>
              <w:t>课程设置</w:t>
            </w:r>
          </w:p>
          <w:p>
            <w:pPr>
              <w:tabs>
                <w:tab w:val="center" w:pos="4153"/>
                <w:tab w:val="right" w:pos="8306"/>
              </w:tabs>
              <w:spacing w:line="300" w:lineRule="exact"/>
              <w:ind w:firstLine="0" w:firstLineChars="0"/>
              <w:jc w:val="center"/>
              <w:rPr>
                <w:rFonts w:hint="default" w:ascii="黑体" w:hAnsi="黑体" w:eastAsia="黑体"/>
                <w:sz w:val="18"/>
                <w:szCs w:val="18"/>
                <w:lang w:val="en-US" w:eastAsia="zh-CN"/>
              </w:rPr>
            </w:pPr>
            <w:r>
              <w:rPr>
                <w:rFonts w:hint="eastAsia" w:ascii="黑体" w:hAnsi="黑体" w:eastAsia="黑体"/>
                <w:sz w:val="18"/>
                <w:szCs w:val="18"/>
              </w:rPr>
              <w:t>职业资格证书</w:t>
            </w:r>
          </w:p>
        </w:tc>
        <w:tc>
          <w:tcPr>
            <w:tcW w:w="2136" w:type="dxa"/>
            <w:vAlign w:val="center"/>
          </w:tcPr>
          <w:p>
            <w:pPr>
              <w:tabs>
                <w:tab w:val="center" w:pos="4153"/>
                <w:tab w:val="right" w:pos="8306"/>
              </w:tabs>
              <w:spacing w:line="300" w:lineRule="exact"/>
              <w:ind w:firstLine="0" w:firstLineChars="0"/>
              <w:jc w:val="center"/>
              <w:rPr>
                <w:rFonts w:hint="default" w:ascii="黑体" w:hAnsi="黑体" w:eastAsia="黑体"/>
                <w:sz w:val="18"/>
                <w:szCs w:val="18"/>
                <w:lang w:val="en-US" w:eastAsia="zh-CN"/>
              </w:rPr>
            </w:pPr>
            <w:r>
              <w:rPr>
                <w:rFonts w:hint="eastAsia" w:ascii="黑体" w:hAnsi="黑体" w:eastAsia="黑体"/>
                <w:sz w:val="18"/>
                <w:szCs w:val="18"/>
              </w:rPr>
              <w:t>15397626839</w:t>
            </w:r>
          </w:p>
        </w:tc>
        <w:tc>
          <w:tcPr>
            <w:tcW w:w="1133" w:type="dxa"/>
            <w:vAlign w:val="top"/>
          </w:tcPr>
          <w:p>
            <w:pPr>
              <w:autoSpaceDE w:val="0"/>
              <w:autoSpaceDN w:val="0"/>
              <w:adjustRightInd w:val="0"/>
              <w:spacing w:line="576" w:lineRule="exact"/>
              <w:ind w:firstLine="440" w:firstLineChars="200"/>
              <w:jc w:val="left"/>
              <w:rPr>
                <w:rFonts w:ascii="仿宋" w:hAnsi="仿宋" w:eastAsia="仿宋" w:cs="仿宋"/>
                <w:bCs/>
                <w:sz w:val="22"/>
                <w:szCs w:val="22"/>
                <w:highlight w:val="green"/>
              </w:rPr>
            </w:pPr>
          </w:p>
        </w:tc>
      </w:tr>
    </w:tbl>
    <w:p>
      <w:pPr>
        <w:autoSpaceDE w:val="0"/>
        <w:autoSpaceDN w:val="0"/>
        <w:adjustRightInd w:val="0"/>
        <w:spacing w:line="576" w:lineRule="exact"/>
        <w:ind w:firstLine="0" w:firstLineChars="0"/>
        <w:jc w:val="left"/>
        <w:rPr>
          <w:rFonts w:ascii="仿宋_GB2312" w:hAnsi="仿宋_GB2312" w:eastAsia="仿宋_GB2312" w:cs="仿宋_GB2312"/>
          <w:bCs/>
          <w:sz w:val="32"/>
          <w:szCs w:val="32"/>
        </w:rPr>
      </w:pPr>
    </w:p>
    <w:sectPr>
      <w:footerReference r:id="rId17" w:type="default"/>
      <w:pgSz w:w="11906" w:h="16838"/>
      <w:pgMar w:top="2098" w:right="1531" w:bottom="2127"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UIRVFD+FangSong_GB2312">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2585" cy="2298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2585" cy="22987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31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pt;width:28.55pt;mso-position-horizontal:center;mso-position-horizontal-relative:margin;mso-wrap-style:none;z-index:251661312;mso-width-relative:page;mso-height-relative:page;" filled="f" stroked="f" coordsize="21600,21600" o:gfxdata="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D8Uy0gAAAAMBAAAPAAAAAAAAAAEAIAAAACIA&#10;AABkcnMvZG93bnJldi54bWxQSwECFAAUAAAACACHTuJASV6Xlg8CAAAQBAAADgAAAAAAAAABACAA&#10;AAAhAQAAZHJzL2Uyb0RvYy54bWxQSwUGAAAAAAYABgBZAQAAo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0288;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o66XRAAAAAwEAAA8AAAAAAAAAAQAgAAAAIgAA&#10;AGRycy9kb3ducmV2LnhtbFBLAQIUABQAAAAIAIdO4kCkYeH4DwIAABAEAAAOAAAAAAAAAAEAIAAA&#10;ACABAABkcnMvZTJvRG9jLnhtbFBLBQYAAAAABgAGAFkBAACh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5E108"/>
    <w:multiLevelType w:val="singleLevel"/>
    <w:tmpl w:val="B3E5E108"/>
    <w:lvl w:ilvl="0" w:tentative="0">
      <w:start w:val="3"/>
      <w:numFmt w:val="chineseCounting"/>
      <w:suff w:val="nothing"/>
      <w:lvlText w:val="（%1）"/>
      <w:lvlJc w:val="left"/>
      <w:rPr>
        <w:rFonts w:hint="eastAsia"/>
      </w:rPr>
    </w:lvl>
  </w:abstractNum>
  <w:abstractNum w:abstractNumId="1">
    <w:nsid w:val="B4E964F5"/>
    <w:multiLevelType w:val="singleLevel"/>
    <w:tmpl w:val="B4E964F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0172A27"/>
    <w:rsid w:val="000010F5"/>
    <w:rsid w:val="0000524B"/>
    <w:rsid w:val="000069D2"/>
    <w:rsid w:val="00011925"/>
    <w:rsid w:val="00021D83"/>
    <w:rsid w:val="000226FB"/>
    <w:rsid w:val="000228DC"/>
    <w:rsid w:val="00025F8C"/>
    <w:rsid w:val="00026734"/>
    <w:rsid w:val="00030FE7"/>
    <w:rsid w:val="00047EB2"/>
    <w:rsid w:val="00056723"/>
    <w:rsid w:val="000614C3"/>
    <w:rsid w:val="00064A23"/>
    <w:rsid w:val="00064F22"/>
    <w:rsid w:val="00072C9C"/>
    <w:rsid w:val="00075BD3"/>
    <w:rsid w:val="000760CF"/>
    <w:rsid w:val="00083807"/>
    <w:rsid w:val="00085C9B"/>
    <w:rsid w:val="00086488"/>
    <w:rsid w:val="00086D0F"/>
    <w:rsid w:val="000876B0"/>
    <w:rsid w:val="00091AC0"/>
    <w:rsid w:val="000B0F0A"/>
    <w:rsid w:val="000B33DE"/>
    <w:rsid w:val="000B78A0"/>
    <w:rsid w:val="000B7E98"/>
    <w:rsid w:val="000C473F"/>
    <w:rsid w:val="000D1456"/>
    <w:rsid w:val="000D29E8"/>
    <w:rsid w:val="000E1797"/>
    <w:rsid w:val="000E339B"/>
    <w:rsid w:val="000F111C"/>
    <w:rsid w:val="000F19E1"/>
    <w:rsid w:val="000F25C1"/>
    <w:rsid w:val="001015C2"/>
    <w:rsid w:val="001051D6"/>
    <w:rsid w:val="00114926"/>
    <w:rsid w:val="00114DC9"/>
    <w:rsid w:val="00116A08"/>
    <w:rsid w:val="00125677"/>
    <w:rsid w:val="001277CB"/>
    <w:rsid w:val="00134158"/>
    <w:rsid w:val="001347DA"/>
    <w:rsid w:val="00141893"/>
    <w:rsid w:val="001426B8"/>
    <w:rsid w:val="001516E5"/>
    <w:rsid w:val="001653FF"/>
    <w:rsid w:val="0017049D"/>
    <w:rsid w:val="00172A27"/>
    <w:rsid w:val="00172DAB"/>
    <w:rsid w:val="001806D6"/>
    <w:rsid w:val="0018330E"/>
    <w:rsid w:val="001919AB"/>
    <w:rsid w:val="001957BC"/>
    <w:rsid w:val="0019641B"/>
    <w:rsid w:val="001A4968"/>
    <w:rsid w:val="001A637F"/>
    <w:rsid w:val="001A73A7"/>
    <w:rsid w:val="001C1EDE"/>
    <w:rsid w:val="001C4223"/>
    <w:rsid w:val="001D2E7D"/>
    <w:rsid w:val="001D2F4A"/>
    <w:rsid w:val="001E2BFE"/>
    <w:rsid w:val="001E7EBF"/>
    <w:rsid w:val="001F197E"/>
    <w:rsid w:val="001F28D4"/>
    <w:rsid w:val="001F52E0"/>
    <w:rsid w:val="001F5494"/>
    <w:rsid w:val="00203C4E"/>
    <w:rsid w:val="00203EDC"/>
    <w:rsid w:val="00204A5A"/>
    <w:rsid w:val="00204CA5"/>
    <w:rsid w:val="00210828"/>
    <w:rsid w:val="00210D4B"/>
    <w:rsid w:val="002111A5"/>
    <w:rsid w:val="0022562A"/>
    <w:rsid w:val="0022669A"/>
    <w:rsid w:val="00231461"/>
    <w:rsid w:val="00235450"/>
    <w:rsid w:val="00243F26"/>
    <w:rsid w:val="00247578"/>
    <w:rsid w:val="00250C15"/>
    <w:rsid w:val="002510AF"/>
    <w:rsid w:val="00251C16"/>
    <w:rsid w:val="00251C8B"/>
    <w:rsid w:val="002529EB"/>
    <w:rsid w:val="002606AC"/>
    <w:rsid w:val="00262515"/>
    <w:rsid w:val="002629AC"/>
    <w:rsid w:val="00271C62"/>
    <w:rsid w:val="002732D1"/>
    <w:rsid w:val="00275036"/>
    <w:rsid w:val="00280CA1"/>
    <w:rsid w:val="00282FFB"/>
    <w:rsid w:val="00286095"/>
    <w:rsid w:val="00292511"/>
    <w:rsid w:val="002956E3"/>
    <w:rsid w:val="002A6474"/>
    <w:rsid w:val="002B70B2"/>
    <w:rsid w:val="002B7FAC"/>
    <w:rsid w:val="002C0BEF"/>
    <w:rsid w:val="002C1FF1"/>
    <w:rsid w:val="002C4717"/>
    <w:rsid w:val="002C55FD"/>
    <w:rsid w:val="002C64D8"/>
    <w:rsid w:val="002D4B01"/>
    <w:rsid w:val="002D764D"/>
    <w:rsid w:val="002E10AF"/>
    <w:rsid w:val="002E1F73"/>
    <w:rsid w:val="002F2556"/>
    <w:rsid w:val="002F4BBB"/>
    <w:rsid w:val="002F6485"/>
    <w:rsid w:val="00301913"/>
    <w:rsid w:val="00310C45"/>
    <w:rsid w:val="00310D77"/>
    <w:rsid w:val="003117D3"/>
    <w:rsid w:val="00317112"/>
    <w:rsid w:val="0031730F"/>
    <w:rsid w:val="0032044D"/>
    <w:rsid w:val="0032620A"/>
    <w:rsid w:val="00335BED"/>
    <w:rsid w:val="00341854"/>
    <w:rsid w:val="003453FF"/>
    <w:rsid w:val="00350F6D"/>
    <w:rsid w:val="00351426"/>
    <w:rsid w:val="00354295"/>
    <w:rsid w:val="003545B4"/>
    <w:rsid w:val="0036520B"/>
    <w:rsid w:val="00365BD9"/>
    <w:rsid w:val="00377C5A"/>
    <w:rsid w:val="003901A5"/>
    <w:rsid w:val="003941B6"/>
    <w:rsid w:val="00396147"/>
    <w:rsid w:val="0039695B"/>
    <w:rsid w:val="003A1A6D"/>
    <w:rsid w:val="003A537A"/>
    <w:rsid w:val="003A7FBC"/>
    <w:rsid w:val="003B0476"/>
    <w:rsid w:val="003B4270"/>
    <w:rsid w:val="003B79C3"/>
    <w:rsid w:val="003C03CD"/>
    <w:rsid w:val="003C4D40"/>
    <w:rsid w:val="003C56AC"/>
    <w:rsid w:val="003D4DAA"/>
    <w:rsid w:val="003E5728"/>
    <w:rsid w:val="003E7312"/>
    <w:rsid w:val="003F3B6F"/>
    <w:rsid w:val="00400676"/>
    <w:rsid w:val="00403DA3"/>
    <w:rsid w:val="00404095"/>
    <w:rsid w:val="00411FAB"/>
    <w:rsid w:val="0041591F"/>
    <w:rsid w:val="00416E97"/>
    <w:rsid w:val="004178C3"/>
    <w:rsid w:val="00443C24"/>
    <w:rsid w:val="004477BD"/>
    <w:rsid w:val="00453CD7"/>
    <w:rsid w:val="00461E22"/>
    <w:rsid w:val="00465E3B"/>
    <w:rsid w:val="0047313E"/>
    <w:rsid w:val="004801B2"/>
    <w:rsid w:val="0048039B"/>
    <w:rsid w:val="004809BB"/>
    <w:rsid w:val="00485377"/>
    <w:rsid w:val="00486111"/>
    <w:rsid w:val="004872AF"/>
    <w:rsid w:val="0049183E"/>
    <w:rsid w:val="00492CBB"/>
    <w:rsid w:val="004955BF"/>
    <w:rsid w:val="004A255F"/>
    <w:rsid w:val="004A288A"/>
    <w:rsid w:val="004A4B68"/>
    <w:rsid w:val="004A576A"/>
    <w:rsid w:val="004A72FE"/>
    <w:rsid w:val="004B1073"/>
    <w:rsid w:val="004B60E8"/>
    <w:rsid w:val="004B7C34"/>
    <w:rsid w:val="004B7DA1"/>
    <w:rsid w:val="004C6AA6"/>
    <w:rsid w:val="004C6DC8"/>
    <w:rsid w:val="004D156D"/>
    <w:rsid w:val="004D297B"/>
    <w:rsid w:val="004D3A90"/>
    <w:rsid w:val="004D59E4"/>
    <w:rsid w:val="004D6F18"/>
    <w:rsid w:val="004D7362"/>
    <w:rsid w:val="004E0930"/>
    <w:rsid w:val="004E125E"/>
    <w:rsid w:val="004E19C5"/>
    <w:rsid w:val="004F0FA4"/>
    <w:rsid w:val="004F3087"/>
    <w:rsid w:val="004F4C1F"/>
    <w:rsid w:val="004F614B"/>
    <w:rsid w:val="0050209D"/>
    <w:rsid w:val="00511716"/>
    <w:rsid w:val="00512B55"/>
    <w:rsid w:val="00513DE5"/>
    <w:rsid w:val="00521257"/>
    <w:rsid w:val="00524E32"/>
    <w:rsid w:val="00527FF8"/>
    <w:rsid w:val="00531122"/>
    <w:rsid w:val="00534B1B"/>
    <w:rsid w:val="00551BB4"/>
    <w:rsid w:val="0055226C"/>
    <w:rsid w:val="00560037"/>
    <w:rsid w:val="00562666"/>
    <w:rsid w:val="00567AD5"/>
    <w:rsid w:val="00583205"/>
    <w:rsid w:val="00590B84"/>
    <w:rsid w:val="00593DC9"/>
    <w:rsid w:val="00597421"/>
    <w:rsid w:val="005A2884"/>
    <w:rsid w:val="005A43E5"/>
    <w:rsid w:val="005A476B"/>
    <w:rsid w:val="005B14ED"/>
    <w:rsid w:val="005B346C"/>
    <w:rsid w:val="005C41A7"/>
    <w:rsid w:val="005C46B8"/>
    <w:rsid w:val="005D7287"/>
    <w:rsid w:val="005E0AEC"/>
    <w:rsid w:val="005E0DE8"/>
    <w:rsid w:val="005E1044"/>
    <w:rsid w:val="005E1816"/>
    <w:rsid w:val="005E1AE8"/>
    <w:rsid w:val="005F1A85"/>
    <w:rsid w:val="005F6346"/>
    <w:rsid w:val="006019D0"/>
    <w:rsid w:val="00606A7D"/>
    <w:rsid w:val="00610EAB"/>
    <w:rsid w:val="00612C37"/>
    <w:rsid w:val="006225FD"/>
    <w:rsid w:val="006253D0"/>
    <w:rsid w:val="006310F8"/>
    <w:rsid w:val="00635270"/>
    <w:rsid w:val="00636A81"/>
    <w:rsid w:val="00643C57"/>
    <w:rsid w:val="00644AD2"/>
    <w:rsid w:val="0064673B"/>
    <w:rsid w:val="00652FB5"/>
    <w:rsid w:val="006545B5"/>
    <w:rsid w:val="00655524"/>
    <w:rsid w:val="00656452"/>
    <w:rsid w:val="00660CB0"/>
    <w:rsid w:val="006619D4"/>
    <w:rsid w:val="006647FF"/>
    <w:rsid w:val="006648C6"/>
    <w:rsid w:val="00665459"/>
    <w:rsid w:val="00665933"/>
    <w:rsid w:val="0066602F"/>
    <w:rsid w:val="006667A2"/>
    <w:rsid w:val="00667942"/>
    <w:rsid w:val="0067243E"/>
    <w:rsid w:val="006805A0"/>
    <w:rsid w:val="00681927"/>
    <w:rsid w:val="0068266B"/>
    <w:rsid w:val="006832FF"/>
    <w:rsid w:val="006837D2"/>
    <w:rsid w:val="00683F73"/>
    <w:rsid w:val="00685A16"/>
    <w:rsid w:val="00690401"/>
    <w:rsid w:val="006926A8"/>
    <w:rsid w:val="006A1391"/>
    <w:rsid w:val="006A544E"/>
    <w:rsid w:val="006A57DD"/>
    <w:rsid w:val="006A7C77"/>
    <w:rsid w:val="006B68AD"/>
    <w:rsid w:val="006B7CEE"/>
    <w:rsid w:val="006C12D1"/>
    <w:rsid w:val="006C4A1E"/>
    <w:rsid w:val="006C70A3"/>
    <w:rsid w:val="006D0741"/>
    <w:rsid w:val="006D0E81"/>
    <w:rsid w:val="006E1A63"/>
    <w:rsid w:val="006E2152"/>
    <w:rsid w:val="006E5805"/>
    <w:rsid w:val="006E6F99"/>
    <w:rsid w:val="006F1067"/>
    <w:rsid w:val="006F32FB"/>
    <w:rsid w:val="00701A98"/>
    <w:rsid w:val="007043F6"/>
    <w:rsid w:val="00704D03"/>
    <w:rsid w:val="007055B1"/>
    <w:rsid w:val="00713904"/>
    <w:rsid w:val="0071620D"/>
    <w:rsid w:val="00720588"/>
    <w:rsid w:val="007266C8"/>
    <w:rsid w:val="0072699B"/>
    <w:rsid w:val="00727EEA"/>
    <w:rsid w:val="007317AC"/>
    <w:rsid w:val="00732388"/>
    <w:rsid w:val="00735733"/>
    <w:rsid w:val="00737BC4"/>
    <w:rsid w:val="00737FFD"/>
    <w:rsid w:val="007459A5"/>
    <w:rsid w:val="007523D9"/>
    <w:rsid w:val="0075291D"/>
    <w:rsid w:val="00755439"/>
    <w:rsid w:val="00756FA8"/>
    <w:rsid w:val="00761A81"/>
    <w:rsid w:val="00763411"/>
    <w:rsid w:val="00763C48"/>
    <w:rsid w:val="00763DA3"/>
    <w:rsid w:val="00763E94"/>
    <w:rsid w:val="00763FA0"/>
    <w:rsid w:val="00764C71"/>
    <w:rsid w:val="007655DC"/>
    <w:rsid w:val="0077139E"/>
    <w:rsid w:val="00792035"/>
    <w:rsid w:val="00796A07"/>
    <w:rsid w:val="00797439"/>
    <w:rsid w:val="007A0780"/>
    <w:rsid w:val="007A2664"/>
    <w:rsid w:val="007A4FB8"/>
    <w:rsid w:val="007B422D"/>
    <w:rsid w:val="007B4675"/>
    <w:rsid w:val="007B4A04"/>
    <w:rsid w:val="007C2F1F"/>
    <w:rsid w:val="007D6E11"/>
    <w:rsid w:val="007E09EB"/>
    <w:rsid w:val="007E24AF"/>
    <w:rsid w:val="007E6777"/>
    <w:rsid w:val="007F100F"/>
    <w:rsid w:val="007F283C"/>
    <w:rsid w:val="007F2CE1"/>
    <w:rsid w:val="00800CC8"/>
    <w:rsid w:val="00810F54"/>
    <w:rsid w:val="00811159"/>
    <w:rsid w:val="0081466D"/>
    <w:rsid w:val="0081569C"/>
    <w:rsid w:val="008161C4"/>
    <w:rsid w:val="0081638B"/>
    <w:rsid w:val="00817D07"/>
    <w:rsid w:val="00822C2A"/>
    <w:rsid w:val="00823319"/>
    <w:rsid w:val="0083100A"/>
    <w:rsid w:val="00832208"/>
    <w:rsid w:val="00835EEF"/>
    <w:rsid w:val="00840A62"/>
    <w:rsid w:val="00841CE8"/>
    <w:rsid w:val="00843E97"/>
    <w:rsid w:val="00846916"/>
    <w:rsid w:val="0084774C"/>
    <w:rsid w:val="008653EE"/>
    <w:rsid w:val="00866D1C"/>
    <w:rsid w:val="008701BF"/>
    <w:rsid w:val="00876469"/>
    <w:rsid w:val="00876944"/>
    <w:rsid w:val="00892887"/>
    <w:rsid w:val="00896668"/>
    <w:rsid w:val="008A59A2"/>
    <w:rsid w:val="008A64D5"/>
    <w:rsid w:val="008B02C4"/>
    <w:rsid w:val="008B3B94"/>
    <w:rsid w:val="008C1ECD"/>
    <w:rsid w:val="008C30D6"/>
    <w:rsid w:val="008C502F"/>
    <w:rsid w:val="008C703F"/>
    <w:rsid w:val="008D3A40"/>
    <w:rsid w:val="008E242A"/>
    <w:rsid w:val="008E73AF"/>
    <w:rsid w:val="008E77FB"/>
    <w:rsid w:val="008F2947"/>
    <w:rsid w:val="008F4A3D"/>
    <w:rsid w:val="008F6383"/>
    <w:rsid w:val="00905D5A"/>
    <w:rsid w:val="00911E1A"/>
    <w:rsid w:val="009153A6"/>
    <w:rsid w:val="00917C71"/>
    <w:rsid w:val="009331F6"/>
    <w:rsid w:val="00933D57"/>
    <w:rsid w:val="0093469C"/>
    <w:rsid w:val="009353E5"/>
    <w:rsid w:val="00940A9E"/>
    <w:rsid w:val="009436BC"/>
    <w:rsid w:val="00943B5D"/>
    <w:rsid w:val="009456A4"/>
    <w:rsid w:val="009461F4"/>
    <w:rsid w:val="0095256A"/>
    <w:rsid w:val="00957118"/>
    <w:rsid w:val="00960CCF"/>
    <w:rsid w:val="009661E2"/>
    <w:rsid w:val="009672D1"/>
    <w:rsid w:val="009701DE"/>
    <w:rsid w:val="00973449"/>
    <w:rsid w:val="00976532"/>
    <w:rsid w:val="00981C5D"/>
    <w:rsid w:val="00986E36"/>
    <w:rsid w:val="009917EA"/>
    <w:rsid w:val="00992354"/>
    <w:rsid w:val="00994664"/>
    <w:rsid w:val="009A12C1"/>
    <w:rsid w:val="009A36C2"/>
    <w:rsid w:val="009A447B"/>
    <w:rsid w:val="009A5CCD"/>
    <w:rsid w:val="009B1674"/>
    <w:rsid w:val="009B28AC"/>
    <w:rsid w:val="009C0711"/>
    <w:rsid w:val="009C1BB3"/>
    <w:rsid w:val="009C41A4"/>
    <w:rsid w:val="009C744D"/>
    <w:rsid w:val="009C7EA1"/>
    <w:rsid w:val="009D33A9"/>
    <w:rsid w:val="009D4445"/>
    <w:rsid w:val="009D77A6"/>
    <w:rsid w:val="009E18DB"/>
    <w:rsid w:val="009F74C2"/>
    <w:rsid w:val="00A035B9"/>
    <w:rsid w:val="00A03C9A"/>
    <w:rsid w:val="00A07E79"/>
    <w:rsid w:val="00A11D04"/>
    <w:rsid w:val="00A149CD"/>
    <w:rsid w:val="00A16236"/>
    <w:rsid w:val="00A17A18"/>
    <w:rsid w:val="00A2744A"/>
    <w:rsid w:val="00A27E0F"/>
    <w:rsid w:val="00A325B2"/>
    <w:rsid w:val="00A35D54"/>
    <w:rsid w:val="00A40103"/>
    <w:rsid w:val="00A6679D"/>
    <w:rsid w:val="00A8360C"/>
    <w:rsid w:val="00A91E87"/>
    <w:rsid w:val="00A91F3E"/>
    <w:rsid w:val="00A944AA"/>
    <w:rsid w:val="00A95AB8"/>
    <w:rsid w:val="00AA78A2"/>
    <w:rsid w:val="00AB028F"/>
    <w:rsid w:val="00AB20B1"/>
    <w:rsid w:val="00AB3BBD"/>
    <w:rsid w:val="00AB4116"/>
    <w:rsid w:val="00AB50F2"/>
    <w:rsid w:val="00AB5633"/>
    <w:rsid w:val="00AB771A"/>
    <w:rsid w:val="00AD214C"/>
    <w:rsid w:val="00AE0B56"/>
    <w:rsid w:val="00AE0E5B"/>
    <w:rsid w:val="00AE183F"/>
    <w:rsid w:val="00AE388E"/>
    <w:rsid w:val="00AE4121"/>
    <w:rsid w:val="00AE4783"/>
    <w:rsid w:val="00AE607A"/>
    <w:rsid w:val="00AE735E"/>
    <w:rsid w:val="00AF26DD"/>
    <w:rsid w:val="00AF798B"/>
    <w:rsid w:val="00B122AD"/>
    <w:rsid w:val="00B12D2A"/>
    <w:rsid w:val="00B17BC8"/>
    <w:rsid w:val="00B24CEE"/>
    <w:rsid w:val="00B31D23"/>
    <w:rsid w:val="00B32AEA"/>
    <w:rsid w:val="00B35A39"/>
    <w:rsid w:val="00B43BF5"/>
    <w:rsid w:val="00B4554B"/>
    <w:rsid w:val="00B5077A"/>
    <w:rsid w:val="00B52B3D"/>
    <w:rsid w:val="00B57824"/>
    <w:rsid w:val="00B64C1F"/>
    <w:rsid w:val="00B64F10"/>
    <w:rsid w:val="00B66F6D"/>
    <w:rsid w:val="00B67782"/>
    <w:rsid w:val="00B71325"/>
    <w:rsid w:val="00B77644"/>
    <w:rsid w:val="00B90870"/>
    <w:rsid w:val="00BA40F9"/>
    <w:rsid w:val="00BA5CE7"/>
    <w:rsid w:val="00BA6FFF"/>
    <w:rsid w:val="00BA7125"/>
    <w:rsid w:val="00BB13A5"/>
    <w:rsid w:val="00BB1B95"/>
    <w:rsid w:val="00BB5B89"/>
    <w:rsid w:val="00BB735D"/>
    <w:rsid w:val="00BC2DEC"/>
    <w:rsid w:val="00BC5E7E"/>
    <w:rsid w:val="00BC75B0"/>
    <w:rsid w:val="00BD459A"/>
    <w:rsid w:val="00BD65B1"/>
    <w:rsid w:val="00BE0F95"/>
    <w:rsid w:val="00BE5AF7"/>
    <w:rsid w:val="00BE69CD"/>
    <w:rsid w:val="00BF0609"/>
    <w:rsid w:val="00BF15FC"/>
    <w:rsid w:val="00BF564E"/>
    <w:rsid w:val="00BF65A9"/>
    <w:rsid w:val="00C020CD"/>
    <w:rsid w:val="00C066B5"/>
    <w:rsid w:val="00C31D3B"/>
    <w:rsid w:val="00C4102F"/>
    <w:rsid w:val="00C62D87"/>
    <w:rsid w:val="00C63A27"/>
    <w:rsid w:val="00C64929"/>
    <w:rsid w:val="00C66988"/>
    <w:rsid w:val="00C746F8"/>
    <w:rsid w:val="00C83B3B"/>
    <w:rsid w:val="00C856D5"/>
    <w:rsid w:val="00C92280"/>
    <w:rsid w:val="00C922CC"/>
    <w:rsid w:val="00C95F9B"/>
    <w:rsid w:val="00C96A7D"/>
    <w:rsid w:val="00CA4C46"/>
    <w:rsid w:val="00CB0E4F"/>
    <w:rsid w:val="00CB192D"/>
    <w:rsid w:val="00CB76EF"/>
    <w:rsid w:val="00CD2FD2"/>
    <w:rsid w:val="00CD4181"/>
    <w:rsid w:val="00CD5AEF"/>
    <w:rsid w:val="00CD7E75"/>
    <w:rsid w:val="00CF0B20"/>
    <w:rsid w:val="00D10521"/>
    <w:rsid w:val="00D124D4"/>
    <w:rsid w:val="00D126E0"/>
    <w:rsid w:val="00D1321E"/>
    <w:rsid w:val="00D2476A"/>
    <w:rsid w:val="00D24800"/>
    <w:rsid w:val="00D27874"/>
    <w:rsid w:val="00D32E28"/>
    <w:rsid w:val="00D33EF8"/>
    <w:rsid w:val="00D34374"/>
    <w:rsid w:val="00D4025D"/>
    <w:rsid w:val="00D40DF5"/>
    <w:rsid w:val="00D413EE"/>
    <w:rsid w:val="00D47F25"/>
    <w:rsid w:val="00D5131D"/>
    <w:rsid w:val="00D548DC"/>
    <w:rsid w:val="00D555BF"/>
    <w:rsid w:val="00D56203"/>
    <w:rsid w:val="00D56C3E"/>
    <w:rsid w:val="00D61F21"/>
    <w:rsid w:val="00D62646"/>
    <w:rsid w:val="00D7063B"/>
    <w:rsid w:val="00D72DEF"/>
    <w:rsid w:val="00D76F59"/>
    <w:rsid w:val="00D80B85"/>
    <w:rsid w:val="00D82851"/>
    <w:rsid w:val="00D85EE9"/>
    <w:rsid w:val="00D90126"/>
    <w:rsid w:val="00D93A25"/>
    <w:rsid w:val="00D9421E"/>
    <w:rsid w:val="00DA1260"/>
    <w:rsid w:val="00DA2D96"/>
    <w:rsid w:val="00DA5C90"/>
    <w:rsid w:val="00DB51A4"/>
    <w:rsid w:val="00DC2221"/>
    <w:rsid w:val="00DC485B"/>
    <w:rsid w:val="00DC5117"/>
    <w:rsid w:val="00DD1E80"/>
    <w:rsid w:val="00DE1B49"/>
    <w:rsid w:val="00DF0F9C"/>
    <w:rsid w:val="00E0041E"/>
    <w:rsid w:val="00E040F2"/>
    <w:rsid w:val="00E050BA"/>
    <w:rsid w:val="00E10C33"/>
    <w:rsid w:val="00E115EC"/>
    <w:rsid w:val="00E14160"/>
    <w:rsid w:val="00E1760C"/>
    <w:rsid w:val="00E21684"/>
    <w:rsid w:val="00E27B5C"/>
    <w:rsid w:val="00E3205C"/>
    <w:rsid w:val="00E33912"/>
    <w:rsid w:val="00E379AF"/>
    <w:rsid w:val="00E40B88"/>
    <w:rsid w:val="00E419CE"/>
    <w:rsid w:val="00E508DB"/>
    <w:rsid w:val="00E53F39"/>
    <w:rsid w:val="00E575A7"/>
    <w:rsid w:val="00E63541"/>
    <w:rsid w:val="00E63A29"/>
    <w:rsid w:val="00E7233B"/>
    <w:rsid w:val="00E73713"/>
    <w:rsid w:val="00E777DD"/>
    <w:rsid w:val="00E80588"/>
    <w:rsid w:val="00E80A29"/>
    <w:rsid w:val="00E857D7"/>
    <w:rsid w:val="00E862B1"/>
    <w:rsid w:val="00E928D2"/>
    <w:rsid w:val="00E92C05"/>
    <w:rsid w:val="00EA32E9"/>
    <w:rsid w:val="00EB0426"/>
    <w:rsid w:val="00EC62DA"/>
    <w:rsid w:val="00EC7F25"/>
    <w:rsid w:val="00EE128A"/>
    <w:rsid w:val="00EF4309"/>
    <w:rsid w:val="00EF48A0"/>
    <w:rsid w:val="00EF69A5"/>
    <w:rsid w:val="00F01BDE"/>
    <w:rsid w:val="00F02261"/>
    <w:rsid w:val="00F106C5"/>
    <w:rsid w:val="00F13511"/>
    <w:rsid w:val="00F15AF5"/>
    <w:rsid w:val="00F16CDD"/>
    <w:rsid w:val="00F46E7A"/>
    <w:rsid w:val="00F47DF9"/>
    <w:rsid w:val="00F50789"/>
    <w:rsid w:val="00F50802"/>
    <w:rsid w:val="00F539A0"/>
    <w:rsid w:val="00F547F6"/>
    <w:rsid w:val="00F60CAC"/>
    <w:rsid w:val="00F63CEA"/>
    <w:rsid w:val="00F72F18"/>
    <w:rsid w:val="00F73CAE"/>
    <w:rsid w:val="00F742CF"/>
    <w:rsid w:val="00F7478E"/>
    <w:rsid w:val="00F8282C"/>
    <w:rsid w:val="00F878B3"/>
    <w:rsid w:val="00F94C0A"/>
    <w:rsid w:val="00F95362"/>
    <w:rsid w:val="00F9580A"/>
    <w:rsid w:val="00FA305C"/>
    <w:rsid w:val="00FA34CB"/>
    <w:rsid w:val="00FA7696"/>
    <w:rsid w:val="00FA772B"/>
    <w:rsid w:val="00FB165C"/>
    <w:rsid w:val="00FB5DA6"/>
    <w:rsid w:val="00FC49FD"/>
    <w:rsid w:val="00FC6143"/>
    <w:rsid w:val="00FC7F0E"/>
    <w:rsid w:val="00FD27E2"/>
    <w:rsid w:val="00FD5EA2"/>
    <w:rsid w:val="00FD705B"/>
    <w:rsid w:val="00FE237A"/>
    <w:rsid w:val="00FE4052"/>
    <w:rsid w:val="00FE4D0E"/>
    <w:rsid w:val="00FE60CD"/>
    <w:rsid w:val="00FE69CD"/>
    <w:rsid w:val="00FF3905"/>
    <w:rsid w:val="00FF3E0A"/>
    <w:rsid w:val="00FF4ED4"/>
    <w:rsid w:val="014632E9"/>
    <w:rsid w:val="014F4893"/>
    <w:rsid w:val="01800CE8"/>
    <w:rsid w:val="01844B25"/>
    <w:rsid w:val="01A4698D"/>
    <w:rsid w:val="01B27824"/>
    <w:rsid w:val="01EB2498"/>
    <w:rsid w:val="02157433"/>
    <w:rsid w:val="02702D13"/>
    <w:rsid w:val="02752886"/>
    <w:rsid w:val="02CF7A3A"/>
    <w:rsid w:val="02FF0A34"/>
    <w:rsid w:val="03165668"/>
    <w:rsid w:val="03213FE7"/>
    <w:rsid w:val="032A2993"/>
    <w:rsid w:val="034E465F"/>
    <w:rsid w:val="035C6DF3"/>
    <w:rsid w:val="035F2BE6"/>
    <w:rsid w:val="036E30C9"/>
    <w:rsid w:val="037A123C"/>
    <w:rsid w:val="037C1244"/>
    <w:rsid w:val="039F1E95"/>
    <w:rsid w:val="03D57364"/>
    <w:rsid w:val="04133547"/>
    <w:rsid w:val="041D33B9"/>
    <w:rsid w:val="04437D77"/>
    <w:rsid w:val="04756DA8"/>
    <w:rsid w:val="048A7923"/>
    <w:rsid w:val="050E411D"/>
    <w:rsid w:val="051A0D14"/>
    <w:rsid w:val="05332620"/>
    <w:rsid w:val="05463489"/>
    <w:rsid w:val="054F7FA7"/>
    <w:rsid w:val="05507641"/>
    <w:rsid w:val="05AD7DDA"/>
    <w:rsid w:val="05D2339D"/>
    <w:rsid w:val="05FC1765"/>
    <w:rsid w:val="05FD2B10"/>
    <w:rsid w:val="06050A87"/>
    <w:rsid w:val="060D2627"/>
    <w:rsid w:val="063A0C6B"/>
    <w:rsid w:val="065339C7"/>
    <w:rsid w:val="06A54CD2"/>
    <w:rsid w:val="06C453DB"/>
    <w:rsid w:val="06C722C1"/>
    <w:rsid w:val="06DB12DA"/>
    <w:rsid w:val="06F010E9"/>
    <w:rsid w:val="07015184"/>
    <w:rsid w:val="07314714"/>
    <w:rsid w:val="073919A8"/>
    <w:rsid w:val="07454276"/>
    <w:rsid w:val="07C338E5"/>
    <w:rsid w:val="07CC32D3"/>
    <w:rsid w:val="07E302DE"/>
    <w:rsid w:val="07F65A68"/>
    <w:rsid w:val="08004C17"/>
    <w:rsid w:val="08053EFD"/>
    <w:rsid w:val="080E36E3"/>
    <w:rsid w:val="085905FB"/>
    <w:rsid w:val="0866479E"/>
    <w:rsid w:val="08732C15"/>
    <w:rsid w:val="089D76F9"/>
    <w:rsid w:val="08A25DA0"/>
    <w:rsid w:val="08AF5C17"/>
    <w:rsid w:val="08B66FA6"/>
    <w:rsid w:val="08BE33E4"/>
    <w:rsid w:val="08C33BEB"/>
    <w:rsid w:val="090F3E02"/>
    <w:rsid w:val="092254F0"/>
    <w:rsid w:val="092D5470"/>
    <w:rsid w:val="093A7BD7"/>
    <w:rsid w:val="09762EB0"/>
    <w:rsid w:val="0980529E"/>
    <w:rsid w:val="09881121"/>
    <w:rsid w:val="099472E7"/>
    <w:rsid w:val="09BB7E85"/>
    <w:rsid w:val="09E813E1"/>
    <w:rsid w:val="09FF2507"/>
    <w:rsid w:val="0A3631E8"/>
    <w:rsid w:val="0A3E36F7"/>
    <w:rsid w:val="0A3F282B"/>
    <w:rsid w:val="0A4B6EAA"/>
    <w:rsid w:val="0A773099"/>
    <w:rsid w:val="0B266665"/>
    <w:rsid w:val="0B293A5F"/>
    <w:rsid w:val="0B320C90"/>
    <w:rsid w:val="0B523D17"/>
    <w:rsid w:val="0B666A61"/>
    <w:rsid w:val="0B8769D7"/>
    <w:rsid w:val="0B8E7D66"/>
    <w:rsid w:val="0BAD6035"/>
    <w:rsid w:val="0BB8255B"/>
    <w:rsid w:val="0BBE1E45"/>
    <w:rsid w:val="0BE65DF4"/>
    <w:rsid w:val="0C495B9C"/>
    <w:rsid w:val="0C607954"/>
    <w:rsid w:val="0C8573BB"/>
    <w:rsid w:val="0C931AD8"/>
    <w:rsid w:val="0D336846"/>
    <w:rsid w:val="0D505755"/>
    <w:rsid w:val="0DB66AF8"/>
    <w:rsid w:val="0DCA33E7"/>
    <w:rsid w:val="0DCB431A"/>
    <w:rsid w:val="0DDD463D"/>
    <w:rsid w:val="0DE32E06"/>
    <w:rsid w:val="0E0073D1"/>
    <w:rsid w:val="0E157728"/>
    <w:rsid w:val="0E235A78"/>
    <w:rsid w:val="0E551790"/>
    <w:rsid w:val="0EDD7BCC"/>
    <w:rsid w:val="0F073234"/>
    <w:rsid w:val="0F4B48EC"/>
    <w:rsid w:val="0F9E7BC2"/>
    <w:rsid w:val="0FEA78DB"/>
    <w:rsid w:val="0FF524FA"/>
    <w:rsid w:val="0FFF0D16"/>
    <w:rsid w:val="103A3FC3"/>
    <w:rsid w:val="10685029"/>
    <w:rsid w:val="106A3906"/>
    <w:rsid w:val="106D1BE7"/>
    <w:rsid w:val="106F542B"/>
    <w:rsid w:val="10740078"/>
    <w:rsid w:val="10EE32BC"/>
    <w:rsid w:val="10F2435A"/>
    <w:rsid w:val="110A60E1"/>
    <w:rsid w:val="11131439"/>
    <w:rsid w:val="112A22DF"/>
    <w:rsid w:val="11456666"/>
    <w:rsid w:val="115E4270"/>
    <w:rsid w:val="11B54A9B"/>
    <w:rsid w:val="11E46932"/>
    <w:rsid w:val="11FD3BB7"/>
    <w:rsid w:val="12371157"/>
    <w:rsid w:val="12624730"/>
    <w:rsid w:val="129F78F1"/>
    <w:rsid w:val="12A704B4"/>
    <w:rsid w:val="1334601B"/>
    <w:rsid w:val="134F24D1"/>
    <w:rsid w:val="136A44D5"/>
    <w:rsid w:val="137141F5"/>
    <w:rsid w:val="137D2B9A"/>
    <w:rsid w:val="13D44784"/>
    <w:rsid w:val="13FA41EA"/>
    <w:rsid w:val="14346369"/>
    <w:rsid w:val="143F60A1"/>
    <w:rsid w:val="144B0110"/>
    <w:rsid w:val="145F0150"/>
    <w:rsid w:val="149A53D9"/>
    <w:rsid w:val="14B01073"/>
    <w:rsid w:val="14CD18FF"/>
    <w:rsid w:val="14CD5DA3"/>
    <w:rsid w:val="14F51BFA"/>
    <w:rsid w:val="14F939CD"/>
    <w:rsid w:val="14F96C26"/>
    <w:rsid w:val="150A4901"/>
    <w:rsid w:val="15400323"/>
    <w:rsid w:val="15673C08"/>
    <w:rsid w:val="156A53A0"/>
    <w:rsid w:val="156F0C08"/>
    <w:rsid w:val="15A41023"/>
    <w:rsid w:val="15BB076D"/>
    <w:rsid w:val="15BB3E4D"/>
    <w:rsid w:val="15C641A5"/>
    <w:rsid w:val="15D30396"/>
    <w:rsid w:val="15E9483E"/>
    <w:rsid w:val="15FA01ED"/>
    <w:rsid w:val="16105F47"/>
    <w:rsid w:val="161B48EC"/>
    <w:rsid w:val="16397379"/>
    <w:rsid w:val="163C162D"/>
    <w:rsid w:val="16421E79"/>
    <w:rsid w:val="16426F21"/>
    <w:rsid w:val="164475BB"/>
    <w:rsid w:val="168E2FEF"/>
    <w:rsid w:val="169923E1"/>
    <w:rsid w:val="16A20B69"/>
    <w:rsid w:val="16C56A89"/>
    <w:rsid w:val="16CD3E38"/>
    <w:rsid w:val="17430F3E"/>
    <w:rsid w:val="174749F6"/>
    <w:rsid w:val="178A23FC"/>
    <w:rsid w:val="17936E30"/>
    <w:rsid w:val="17A17FF5"/>
    <w:rsid w:val="17F7577C"/>
    <w:rsid w:val="186F1955"/>
    <w:rsid w:val="18B032AD"/>
    <w:rsid w:val="18FC6C57"/>
    <w:rsid w:val="190A2005"/>
    <w:rsid w:val="190F698A"/>
    <w:rsid w:val="191A0E8B"/>
    <w:rsid w:val="195F0167"/>
    <w:rsid w:val="19640F6D"/>
    <w:rsid w:val="196D7C46"/>
    <w:rsid w:val="197B7843"/>
    <w:rsid w:val="1990174F"/>
    <w:rsid w:val="19ED356A"/>
    <w:rsid w:val="1A8C400A"/>
    <w:rsid w:val="1B001A6A"/>
    <w:rsid w:val="1B2375B3"/>
    <w:rsid w:val="1B5610F8"/>
    <w:rsid w:val="1B571741"/>
    <w:rsid w:val="1B642891"/>
    <w:rsid w:val="1B7B3964"/>
    <w:rsid w:val="1BC752FA"/>
    <w:rsid w:val="1BDB6FF7"/>
    <w:rsid w:val="1BEC2FB3"/>
    <w:rsid w:val="1BF607AC"/>
    <w:rsid w:val="1C00411D"/>
    <w:rsid w:val="1C021AAC"/>
    <w:rsid w:val="1C30136E"/>
    <w:rsid w:val="1C744D56"/>
    <w:rsid w:val="1C8925AF"/>
    <w:rsid w:val="1C986C96"/>
    <w:rsid w:val="1CA7512B"/>
    <w:rsid w:val="1CB25D8C"/>
    <w:rsid w:val="1CD95D9E"/>
    <w:rsid w:val="1D022362"/>
    <w:rsid w:val="1D0613EF"/>
    <w:rsid w:val="1D2B7B0B"/>
    <w:rsid w:val="1D423C6F"/>
    <w:rsid w:val="1DB418AE"/>
    <w:rsid w:val="1DB47D58"/>
    <w:rsid w:val="1DFC61DE"/>
    <w:rsid w:val="1DFF1C8C"/>
    <w:rsid w:val="1E025A9A"/>
    <w:rsid w:val="1E165F1B"/>
    <w:rsid w:val="1E4D68D8"/>
    <w:rsid w:val="1ECC7D61"/>
    <w:rsid w:val="1EDF6DFF"/>
    <w:rsid w:val="1EF64868"/>
    <w:rsid w:val="1F615A66"/>
    <w:rsid w:val="1F743AE3"/>
    <w:rsid w:val="1F833C5E"/>
    <w:rsid w:val="1FA13150"/>
    <w:rsid w:val="1FC545F0"/>
    <w:rsid w:val="1FC96EC1"/>
    <w:rsid w:val="20196340"/>
    <w:rsid w:val="20475473"/>
    <w:rsid w:val="20653E38"/>
    <w:rsid w:val="20782854"/>
    <w:rsid w:val="208B376A"/>
    <w:rsid w:val="20A7394C"/>
    <w:rsid w:val="20D61B3B"/>
    <w:rsid w:val="20DB53A4"/>
    <w:rsid w:val="20EA1EBF"/>
    <w:rsid w:val="21243E24"/>
    <w:rsid w:val="212C3E51"/>
    <w:rsid w:val="216F2EED"/>
    <w:rsid w:val="217805B9"/>
    <w:rsid w:val="21946809"/>
    <w:rsid w:val="220F716F"/>
    <w:rsid w:val="22421B7E"/>
    <w:rsid w:val="224621A6"/>
    <w:rsid w:val="224B692C"/>
    <w:rsid w:val="225E2181"/>
    <w:rsid w:val="225F74E9"/>
    <w:rsid w:val="2285162E"/>
    <w:rsid w:val="2291083F"/>
    <w:rsid w:val="22A04AF7"/>
    <w:rsid w:val="22BB7D0D"/>
    <w:rsid w:val="22D13060"/>
    <w:rsid w:val="22E25C0F"/>
    <w:rsid w:val="233F7E6C"/>
    <w:rsid w:val="23571659"/>
    <w:rsid w:val="237A0EA4"/>
    <w:rsid w:val="239161EE"/>
    <w:rsid w:val="239C5315"/>
    <w:rsid w:val="23F87D5F"/>
    <w:rsid w:val="242E1E79"/>
    <w:rsid w:val="243F7E5F"/>
    <w:rsid w:val="245711E5"/>
    <w:rsid w:val="248C222A"/>
    <w:rsid w:val="249E5066"/>
    <w:rsid w:val="24AC7783"/>
    <w:rsid w:val="24C74DAC"/>
    <w:rsid w:val="24E33DC9"/>
    <w:rsid w:val="24EC5867"/>
    <w:rsid w:val="25024418"/>
    <w:rsid w:val="250A26FB"/>
    <w:rsid w:val="253B2A1D"/>
    <w:rsid w:val="25423C43"/>
    <w:rsid w:val="25662520"/>
    <w:rsid w:val="257C47D4"/>
    <w:rsid w:val="25956F13"/>
    <w:rsid w:val="25E46B34"/>
    <w:rsid w:val="266B541C"/>
    <w:rsid w:val="26920BFA"/>
    <w:rsid w:val="269F52E4"/>
    <w:rsid w:val="26AE0D9C"/>
    <w:rsid w:val="26B02E2F"/>
    <w:rsid w:val="26C769EB"/>
    <w:rsid w:val="26DF29C7"/>
    <w:rsid w:val="26F341EC"/>
    <w:rsid w:val="26F37292"/>
    <w:rsid w:val="27082F57"/>
    <w:rsid w:val="272965FC"/>
    <w:rsid w:val="27405D4D"/>
    <w:rsid w:val="27407ACE"/>
    <w:rsid w:val="276D0AFB"/>
    <w:rsid w:val="277D2EE8"/>
    <w:rsid w:val="277D5407"/>
    <w:rsid w:val="27802801"/>
    <w:rsid w:val="27822A1D"/>
    <w:rsid w:val="278422F1"/>
    <w:rsid w:val="27A83E4E"/>
    <w:rsid w:val="27F66FFF"/>
    <w:rsid w:val="27FF2EEC"/>
    <w:rsid w:val="280C68AE"/>
    <w:rsid w:val="281C0984"/>
    <w:rsid w:val="283C7070"/>
    <w:rsid w:val="28574E84"/>
    <w:rsid w:val="28692369"/>
    <w:rsid w:val="286A748F"/>
    <w:rsid w:val="28B409B4"/>
    <w:rsid w:val="28D9528D"/>
    <w:rsid w:val="290556B4"/>
    <w:rsid w:val="291A1A55"/>
    <w:rsid w:val="29243E6E"/>
    <w:rsid w:val="295108F9"/>
    <w:rsid w:val="29543F45"/>
    <w:rsid w:val="299E36C0"/>
    <w:rsid w:val="29BB5D72"/>
    <w:rsid w:val="29CC7F7F"/>
    <w:rsid w:val="29D71372"/>
    <w:rsid w:val="29ED4342"/>
    <w:rsid w:val="2A116024"/>
    <w:rsid w:val="2A4750E1"/>
    <w:rsid w:val="2A622692"/>
    <w:rsid w:val="2A636B36"/>
    <w:rsid w:val="2ABB00A5"/>
    <w:rsid w:val="2ACB3E5E"/>
    <w:rsid w:val="2AD76BDC"/>
    <w:rsid w:val="2B163BA8"/>
    <w:rsid w:val="2B1F3532"/>
    <w:rsid w:val="2BDD02E6"/>
    <w:rsid w:val="2BE710A1"/>
    <w:rsid w:val="2C0029C8"/>
    <w:rsid w:val="2C0530BD"/>
    <w:rsid w:val="2C1B6A0E"/>
    <w:rsid w:val="2C2440A3"/>
    <w:rsid w:val="2C4B1411"/>
    <w:rsid w:val="2C5C5F6C"/>
    <w:rsid w:val="2C6941AB"/>
    <w:rsid w:val="2C751430"/>
    <w:rsid w:val="2CA1015E"/>
    <w:rsid w:val="2D0E598A"/>
    <w:rsid w:val="2D28343A"/>
    <w:rsid w:val="2D2D048D"/>
    <w:rsid w:val="2D3D4A6E"/>
    <w:rsid w:val="2D3F06D5"/>
    <w:rsid w:val="2D60110A"/>
    <w:rsid w:val="2D6A3D37"/>
    <w:rsid w:val="2D724D1D"/>
    <w:rsid w:val="2D963233"/>
    <w:rsid w:val="2DAF19A8"/>
    <w:rsid w:val="2DB31B82"/>
    <w:rsid w:val="2DBC1C8B"/>
    <w:rsid w:val="2DCC2C44"/>
    <w:rsid w:val="2DE63CA7"/>
    <w:rsid w:val="2E1C5552"/>
    <w:rsid w:val="2E337F09"/>
    <w:rsid w:val="2E536EC1"/>
    <w:rsid w:val="2E666BF4"/>
    <w:rsid w:val="2E863A45"/>
    <w:rsid w:val="2E8A65F4"/>
    <w:rsid w:val="2EAC2E7D"/>
    <w:rsid w:val="2ED20688"/>
    <w:rsid w:val="2EFC707C"/>
    <w:rsid w:val="2F2443BA"/>
    <w:rsid w:val="2F2B2ABE"/>
    <w:rsid w:val="2F631386"/>
    <w:rsid w:val="2F854E58"/>
    <w:rsid w:val="30DF67EA"/>
    <w:rsid w:val="30F56190"/>
    <w:rsid w:val="3100427E"/>
    <w:rsid w:val="31097D0B"/>
    <w:rsid w:val="31242A17"/>
    <w:rsid w:val="314957E2"/>
    <w:rsid w:val="31903DA3"/>
    <w:rsid w:val="319A2CBF"/>
    <w:rsid w:val="31E56082"/>
    <w:rsid w:val="320F2464"/>
    <w:rsid w:val="32216010"/>
    <w:rsid w:val="32427031"/>
    <w:rsid w:val="32737B32"/>
    <w:rsid w:val="328F1440"/>
    <w:rsid w:val="32A7589E"/>
    <w:rsid w:val="32E80292"/>
    <w:rsid w:val="33A65CE5"/>
    <w:rsid w:val="33CD780E"/>
    <w:rsid w:val="33DC756E"/>
    <w:rsid w:val="33E147E1"/>
    <w:rsid w:val="342D3AAD"/>
    <w:rsid w:val="3449213D"/>
    <w:rsid w:val="34A77B43"/>
    <w:rsid w:val="34BF437F"/>
    <w:rsid w:val="34D03939"/>
    <w:rsid w:val="34F54806"/>
    <w:rsid w:val="35150A2C"/>
    <w:rsid w:val="355043BB"/>
    <w:rsid w:val="356827E4"/>
    <w:rsid w:val="35C32F6F"/>
    <w:rsid w:val="35C85331"/>
    <w:rsid w:val="35D95EFE"/>
    <w:rsid w:val="35EB15D0"/>
    <w:rsid w:val="36052464"/>
    <w:rsid w:val="365D08DD"/>
    <w:rsid w:val="366F3ACE"/>
    <w:rsid w:val="36801924"/>
    <w:rsid w:val="36C642EE"/>
    <w:rsid w:val="36C7790F"/>
    <w:rsid w:val="36CB3ED7"/>
    <w:rsid w:val="3701073A"/>
    <w:rsid w:val="372238D5"/>
    <w:rsid w:val="372C4ACA"/>
    <w:rsid w:val="37324FF3"/>
    <w:rsid w:val="37DD35E5"/>
    <w:rsid w:val="37ED3EE3"/>
    <w:rsid w:val="380145BB"/>
    <w:rsid w:val="380E07FD"/>
    <w:rsid w:val="38657F1D"/>
    <w:rsid w:val="386C12AB"/>
    <w:rsid w:val="387B329C"/>
    <w:rsid w:val="389F72F3"/>
    <w:rsid w:val="38A625EA"/>
    <w:rsid w:val="38A87E0A"/>
    <w:rsid w:val="38C525C9"/>
    <w:rsid w:val="38C56C0D"/>
    <w:rsid w:val="390810EF"/>
    <w:rsid w:val="3911134E"/>
    <w:rsid w:val="3914724D"/>
    <w:rsid w:val="393B31D5"/>
    <w:rsid w:val="394D323D"/>
    <w:rsid w:val="3958680C"/>
    <w:rsid w:val="39713967"/>
    <w:rsid w:val="398E3714"/>
    <w:rsid w:val="39A16D33"/>
    <w:rsid w:val="39B958E7"/>
    <w:rsid w:val="39BF28CA"/>
    <w:rsid w:val="39EF5584"/>
    <w:rsid w:val="3A02276A"/>
    <w:rsid w:val="3A0C28D7"/>
    <w:rsid w:val="3A46311F"/>
    <w:rsid w:val="3A662F9F"/>
    <w:rsid w:val="3A671067"/>
    <w:rsid w:val="3A9B5D21"/>
    <w:rsid w:val="3AD73BAB"/>
    <w:rsid w:val="3B2E0A9A"/>
    <w:rsid w:val="3B40257B"/>
    <w:rsid w:val="3B7F12F6"/>
    <w:rsid w:val="3B862684"/>
    <w:rsid w:val="3BF50FC4"/>
    <w:rsid w:val="3C08177B"/>
    <w:rsid w:val="3C3D31E9"/>
    <w:rsid w:val="3C456863"/>
    <w:rsid w:val="3CB94393"/>
    <w:rsid w:val="3CD445B6"/>
    <w:rsid w:val="3CFD2A0A"/>
    <w:rsid w:val="3D3E2040"/>
    <w:rsid w:val="3D93654B"/>
    <w:rsid w:val="3D9D3CB5"/>
    <w:rsid w:val="3DCC459A"/>
    <w:rsid w:val="3DD671C7"/>
    <w:rsid w:val="3E4E4FAF"/>
    <w:rsid w:val="3E522CF1"/>
    <w:rsid w:val="3E6A791E"/>
    <w:rsid w:val="3E895D15"/>
    <w:rsid w:val="3EC73B82"/>
    <w:rsid w:val="3EDA68EF"/>
    <w:rsid w:val="3F19736B"/>
    <w:rsid w:val="3F716332"/>
    <w:rsid w:val="3F9966FE"/>
    <w:rsid w:val="3F9F418A"/>
    <w:rsid w:val="3FB04F67"/>
    <w:rsid w:val="3FB86B84"/>
    <w:rsid w:val="3FBE0815"/>
    <w:rsid w:val="3FF106E1"/>
    <w:rsid w:val="3FF75F5A"/>
    <w:rsid w:val="40076323"/>
    <w:rsid w:val="401C449B"/>
    <w:rsid w:val="40280F5A"/>
    <w:rsid w:val="404B3E9C"/>
    <w:rsid w:val="405A40DF"/>
    <w:rsid w:val="407231D7"/>
    <w:rsid w:val="408C6F39"/>
    <w:rsid w:val="40DD4C9F"/>
    <w:rsid w:val="40E276D8"/>
    <w:rsid w:val="4125421C"/>
    <w:rsid w:val="412558D5"/>
    <w:rsid w:val="413821FD"/>
    <w:rsid w:val="41423FDB"/>
    <w:rsid w:val="414B1A1C"/>
    <w:rsid w:val="41605725"/>
    <w:rsid w:val="418A09F4"/>
    <w:rsid w:val="41D124EA"/>
    <w:rsid w:val="423D7815"/>
    <w:rsid w:val="426506CF"/>
    <w:rsid w:val="42760585"/>
    <w:rsid w:val="428C42F8"/>
    <w:rsid w:val="42923FA4"/>
    <w:rsid w:val="42CA661F"/>
    <w:rsid w:val="42CD246D"/>
    <w:rsid w:val="43326EBF"/>
    <w:rsid w:val="434075BC"/>
    <w:rsid w:val="43A114E2"/>
    <w:rsid w:val="441E71D2"/>
    <w:rsid w:val="44330755"/>
    <w:rsid w:val="44B27004"/>
    <w:rsid w:val="44B30262"/>
    <w:rsid w:val="44DD713F"/>
    <w:rsid w:val="44E328F5"/>
    <w:rsid w:val="450D016D"/>
    <w:rsid w:val="45311E64"/>
    <w:rsid w:val="4535226F"/>
    <w:rsid w:val="45A0278C"/>
    <w:rsid w:val="45C60805"/>
    <w:rsid w:val="45CE08AE"/>
    <w:rsid w:val="46112BA7"/>
    <w:rsid w:val="461F5EDC"/>
    <w:rsid w:val="463C7063"/>
    <w:rsid w:val="469B559A"/>
    <w:rsid w:val="46B20076"/>
    <w:rsid w:val="46E573E2"/>
    <w:rsid w:val="470756C6"/>
    <w:rsid w:val="471A45C8"/>
    <w:rsid w:val="47411EC5"/>
    <w:rsid w:val="4741367D"/>
    <w:rsid w:val="474B6530"/>
    <w:rsid w:val="47527C17"/>
    <w:rsid w:val="47866445"/>
    <w:rsid w:val="47A03AAB"/>
    <w:rsid w:val="47C702AC"/>
    <w:rsid w:val="47F25539"/>
    <w:rsid w:val="48311BC9"/>
    <w:rsid w:val="484E277B"/>
    <w:rsid w:val="489A63C4"/>
    <w:rsid w:val="48BC46ED"/>
    <w:rsid w:val="48C42A3E"/>
    <w:rsid w:val="48D76884"/>
    <w:rsid w:val="48FB5330"/>
    <w:rsid w:val="492C21FC"/>
    <w:rsid w:val="494778EE"/>
    <w:rsid w:val="49774BBE"/>
    <w:rsid w:val="49CF169A"/>
    <w:rsid w:val="49E54A1A"/>
    <w:rsid w:val="4A035B37"/>
    <w:rsid w:val="4A073CD0"/>
    <w:rsid w:val="4A2E2177"/>
    <w:rsid w:val="4A3414FD"/>
    <w:rsid w:val="4A8F0E29"/>
    <w:rsid w:val="4AAF6DD6"/>
    <w:rsid w:val="4AC00FE3"/>
    <w:rsid w:val="4ADF590D"/>
    <w:rsid w:val="4BA07F46"/>
    <w:rsid w:val="4BB51FA7"/>
    <w:rsid w:val="4BC52D55"/>
    <w:rsid w:val="4BE43FEB"/>
    <w:rsid w:val="4BF8047C"/>
    <w:rsid w:val="4C1E6488"/>
    <w:rsid w:val="4C7F3AE9"/>
    <w:rsid w:val="4CA0731E"/>
    <w:rsid w:val="4CF13828"/>
    <w:rsid w:val="4D1675E0"/>
    <w:rsid w:val="4D222075"/>
    <w:rsid w:val="4D381304"/>
    <w:rsid w:val="4D745532"/>
    <w:rsid w:val="4E094A4F"/>
    <w:rsid w:val="4E37780E"/>
    <w:rsid w:val="4E4D5001"/>
    <w:rsid w:val="4EB3158A"/>
    <w:rsid w:val="4EB864B5"/>
    <w:rsid w:val="4EEA5D88"/>
    <w:rsid w:val="4EFD3E04"/>
    <w:rsid w:val="4F26634E"/>
    <w:rsid w:val="4F4348CA"/>
    <w:rsid w:val="4F4915A7"/>
    <w:rsid w:val="4F4B1C95"/>
    <w:rsid w:val="4F5F4E24"/>
    <w:rsid w:val="4FBA3725"/>
    <w:rsid w:val="501A0A1B"/>
    <w:rsid w:val="50657CA7"/>
    <w:rsid w:val="506F7491"/>
    <w:rsid w:val="508D1967"/>
    <w:rsid w:val="509C07CE"/>
    <w:rsid w:val="50BB1C13"/>
    <w:rsid w:val="50C221A5"/>
    <w:rsid w:val="50C4695F"/>
    <w:rsid w:val="50DD5829"/>
    <w:rsid w:val="50EF1D78"/>
    <w:rsid w:val="50F87F12"/>
    <w:rsid w:val="512D6CA6"/>
    <w:rsid w:val="514B730B"/>
    <w:rsid w:val="5151508A"/>
    <w:rsid w:val="51801257"/>
    <w:rsid w:val="518B70E4"/>
    <w:rsid w:val="51CA492A"/>
    <w:rsid w:val="520B348B"/>
    <w:rsid w:val="520E5E44"/>
    <w:rsid w:val="52416EAD"/>
    <w:rsid w:val="52696DDE"/>
    <w:rsid w:val="526D7B03"/>
    <w:rsid w:val="52CD35A6"/>
    <w:rsid w:val="52CF3CD6"/>
    <w:rsid w:val="52E200A3"/>
    <w:rsid w:val="52E361B6"/>
    <w:rsid w:val="530F48B5"/>
    <w:rsid w:val="531D5E1F"/>
    <w:rsid w:val="534D69E3"/>
    <w:rsid w:val="53517C73"/>
    <w:rsid w:val="53667B9C"/>
    <w:rsid w:val="538D0C18"/>
    <w:rsid w:val="538E7ED0"/>
    <w:rsid w:val="53937294"/>
    <w:rsid w:val="53E41B6E"/>
    <w:rsid w:val="542242CE"/>
    <w:rsid w:val="54325A23"/>
    <w:rsid w:val="54384DB4"/>
    <w:rsid w:val="544762D1"/>
    <w:rsid w:val="54736FB6"/>
    <w:rsid w:val="5490555E"/>
    <w:rsid w:val="54A040FE"/>
    <w:rsid w:val="54AD5D08"/>
    <w:rsid w:val="54BA6AA3"/>
    <w:rsid w:val="54C60EF9"/>
    <w:rsid w:val="54C97616"/>
    <w:rsid w:val="54D67D81"/>
    <w:rsid w:val="55236D3E"/>
    <w:rsid w:val="5538722B"/>
    <w:rsid w:val="553A6548"/>
    <w:rsid w:val="556863F3"/>
    <w:rsid w:val="557A5B5E"/>
    <w:rsid w:val="55993468"/>
    <w:rsid w:val="55D83684"/>
    <w:rsid w:val="56013A34"/>
    <w:rsid w:val="56082161"/>
    <w:rsid w:val="5630526E"/>
    <w:rsid w:val="563B597B"/>
    <w:rsid w:val="564156CE"/>
    <w:rsid w:val="56422D98"/>
    <w:rsid w:val="56494582"/>
    <w:rsid w:val="569C2904"/>
    <w:rsid w:val="569C339B"/>
    <w:rsid w:val="56A65531"/>
    <w:rsid w:val="56DE116E"/>
    <w:rsid w:val="57250B4B"/>
    <w:rsid w:val="57432B3B"/>
    <w:rsid w:val="575011A6"/>
    <w:rsid w:val="575C2093"/>
    <w:rsid w:val="57CB336C"/>
    <w:rsid w:val="57F72399"/>
    <w:rsid w:val="57FD05CB"/>
    <w:rsid w:val="5807321C"/>
    <w:rsid w:val="580B52E8"/>
    <w:rsid w:val="58432713"/>
    <w:rsid w:val="585A2A77"/>
    <w:rsid w:val="585B7F21"/>
    <w:rsid w:val="58767185"/>
    <w:rsid w:val="58AA6505"/>
    <w:rsid w:val="58C263A1"/>
    <w:rsid w:val="58E6255C"/>
    <w:rsid w:val="59195732"/>
    <w:rsid w:val="592F2E7E"/>
    <w:rsid w:val="59A41F10"/>
    <w:rsid w:val="59BA3D72"/>
    <w:rsid w:val="59D87D0F"/>
    <w:rsid w:val="5A144EA7"/>
    <w:rsid w:val="5A4959AD"/>
    <w:rsid w:val="5A4C046F"/>
    <w:rsid w:val="5A9F29C3"/>
    <w:rsid w:val="5ABD553F"/>
    <w:rsid w:val="5ABE3352"/>
    <w:rsid w:val="5ACA6500"/>
    <w:rsid w:val="5AD05272"/>
    <w:rsid w:val="5B2E7115"/>
    <w:rsid w:val="5B303F63"/>
    <w:rsid w:val="5B351579"/>
    <w:rsid w:val="5B5106C1"/>
    <w:rsid w:val="5B65465A"/>
    <w:rsid w:val="5B90055D"/>
    <w:rsid w:val="5B953DC6"/>
    <w:rsid w:val="5BC06E4D"/>
    <w:rsid w:val="5BDB3ECE"/>
    <w:rsid w:val="5BF1724E"/>
    <w:rsid w:val="5C003935"/>
    <w:rsid w:val="5C1473E0"/>
    <w:rsid w:val="5C1F68B2"/>
    <w:rsid w:val="5C25514A"/>
    <w:rsid w:val="5C3C5309"/>
    <w:rsid w:val="5C98753D"/>
    <w:rsid w:val="5C9F4EFC"/>
    <w:rsid w:val="5CA2679A"/>
    <w:rsid w:val="5CBB2B43"/>
    <w:rsid w:val="5CC644CB"/>
    <w:rsid w:val="5CE90C25"/>
    <w:rsid w:val="5D29565C"/>
    <w:rsid w:val="5D3C274B"/>
    <w:rsid w:val="5D44483B"/>
    <w:rsid w:val="5D5C668D"/>
    <w:rsid w:val="5DC53D13"/>
    <w:rsid w:val="5DDE6A81"/>
    <w:rsid w:val="5DF4141C"/>
    <w:rsid w:val="5E1C2A9D"/>
    <w:rsid w:val="5E2D7546"/>
    <w:rsid w:val="5E407865"/>
    <w:rsid w:val="5E6C31C0"/>
    <w:rsid w:val="5EC724E8"/>
    <w:rsid w:val="5EE9479E"/>
    <w:rsid w:val="5F4D50E3"/>
    <w:rsid w:val="5F63529E"/>
    <w:rsid w:val="5F7D6DEB"/>
    <w:rsid w:val="5F943352"/>
    <w:rsid w:val="5FDB1739"/>
    <w:rsid w:val="5FE26E43"/>
    <w:rsid w:val="5FE403C2"/>
    <w:rsid w:val="5FF847D5"/>
    <w:rsid w:val="600800E0"/>
    <w:rsid w:val="600C6C50"/>
    <w:rsid w:val="602A2D2E"/>
    <w:rsid w:val="60477D84"/>
    <w:rsid w:val="60600E46"/>
    <w:rsid w:val="6078667B"/>
    <w:rsid w:val="6089466D"/>
    <w:rsid w:val="60AF1486"/>
    <w:rsid w:val="60B17849"/>
    <w:rsid w:val="60DA5284"/>
    <w:rsid w:val="60ED188A"/>
    <w:rsid w:val="61865D94"/>
    <w:rsid w:val="61D34294"/>
    <w:rsid w:val="61D4389A"/>
    <w:rsid w:val="61E11B13"/>
    <w:rsid w:val="61E92171"/>
    <w:rsid w:val="620D76B1"/>
    <w:rsid w:val="623065F6"/>
    <w:rsid w:val="62377568"/>
    <w:rsid w:val="62420143"/>
    <w:rsid w:val="6243225C"/>
    <w:rsid w:val="62652DAE"/>
    <w:rsid w:val="629F1325"/>
    <w:rsid w:val="62A768B8"/>
    <w:rsid w:val="62D022B3"/>
    <w:rsid w:val="62E55633"/>
    <w:rsid w:val="62FB6C04"/>
    <w:rsid w:val="634B4F96"/>
    <w:rsid w:val="63936068"/>
    <w:rsid w:val="63CA7925"/>
    <w:rsid w:val="63D9559B"/>
    <w:rsid w:val="63EA1C1F"/>
    <w:rsid w:val="63EE6769"/>
    <w:rsid w:val="644450A8"/>
    <w:rsid w:val="644A1691"/>
    <w:rsid w:val="646546B3"/>
    <w:rsid w:val="64713D17"/>
    <w:rsid w:val="648061DA"/>
    <w:rsid w:val="64A47AAA"/>
    <w:rsid w:val="64A54573"/>
    <w:rsid w:val="64B27ED9"/>
    <w:rsid w:val="64BA64F5"/>
    <w:rsid w:val="64C80D68"/>
    <w:rsid w:val="651915C4"/>
    <w:rsid w:val="653F48B1"/>
    <w:rsid w:val="654E1FF6"/>
    <w:rsid w:val="655A7F86"/>
    <w:rsid w:val="658F4AD4"/>
    <w:rsid w:val="65B02EB4"/>
    <w:rsid w:val="65B37C6A"/>
    <w:rsid w:val="65D33265"/>
    <w:rsid w:val="65D969F1"/>
    <w:rsid w:val="65DE7CC7"/>
    <w:rsid w:val="65E60E74"/>
    <w:rsid w:val="65E9368C"/>
    <w:rsid w:val="65FE106C"/>
    <w:rsid w:val="662872F2"/>
    <w:rsid w:val="664F7993"/>
    <w:rsid w:val="66866741"/>
    <w:rsid w:val="66DF1140"/>
    <w:rsid w:val="66E04A7B"/>
    <w:rsid w:val="66EE3707"/>
    <w:rsid w:val="66F10A4A"/>
    <w:rsid w:val="67290B4A"/>
    <w:rsid w:val="674251BA"/>
    <w:rsid w:val="674C362E"/>
    <w:rsid w:val="67852F40"/>
    <w:rsid w:val="67C30030"/>
    <w:rsid w:val="67E66743"/>
    <w:rsid w:val="68077DF9"/>
    <w:rsid w:val="681B4EF0"/>
    <w:rsid w:val="68314842"/>
    <w:rsid w:val="683F0B63"/>
    <w:rsid w:val="685E3EBD"/>
    <w:rsid w:val="68CE4201"/>
    <w:rsid w:val="69030338"/>
    <w:rsid w:val="691470A9"/>
    <w:rsid w:val="692F13B6"/>
    <w:rsid w:val="694E0E01"/>
    <w:rsid w:val="6976327C"/>
    <w:rsid w:val="69886D18"/>
    <w:rsid w:val="69A2427D"/>
    <w:rsid w:val="69B84511"/>
    <w:rsid w:val="69D21B1B"/>
    <w:rsid w:val="69E0552B"/>
    <w:rsid w:val="69F252C0"/>
    <w:rsid w:val="69F95A68"/>
    <w:rsid w:val="6A1058EB"/>
    <w:rsid w:val="6A1B7731"/>
    <w:rsid w:val="6A2829D5"/>
    <w:rsid w:val="6A481AA9"/>
    <w:rsid w:val="6A6C217D"/>
    <w:rsid w:val="6A9F256B"/>
    <w:rsid w:val="6AA5093D"/>
    <w:rsid w:val="6AC326FD"/>
    <w:rsid w:val="6AD8764A"/>
    <w:rsid w:val="6AFC176B"/>
    <w:rsid w:val="6B080110"/>
    <w:rsid w:val="6B3D620A"/>
    <w:rsid w:val="6B4750DC"/>
    <w:rsid w:val="6B6F4633"/>
    <w:rsid w:val="6B7020B1"/>
    <w:rsid w:val="6B821D05"/>
    <w:rsid w:val="6BBC0968"/>
    <w:rsid w:val="6BBC43C6"/>
    <w:rsid w:val="6BDA5F51"/>
    <w:rsid w:val="6BDF0CE3"/>
    <w:rsid w:val="6BE85B99"/>
    <w:rsid w:val="6C592649"/>
    <w:rsid w:val="6C643B3D"/>
    <w:rsid w:val="6C6D72C1"/>
    <w:rsid w:val="6CA87C26"/>
    <w:rsid w:val="6CB1184C"/>
    <w:rsid w:val="6CFC5A53"/>
    <w:rsid w:val="6D0B213A"/>
    <w:rsid w:val="6D1258C6"/>
    <w:rsid w:val="6D1618CD"/>
    <w:rsid w:val="6D1908F6"/>
    <w:rsid w:val="6D197416"/>
    <w:rsid w:val="6D35054A"/>
    <w:rsid w:val="6D58506A"/>
    <w:rsid w:val="6D676714"/>
    <w:rsid w:val="6D9432A3"/>
    <w:rsid w:val="6DA2275C"/>
    <w:rsid w:val="6DB65B89"/>
    <w:rsid w:val="6DF02799"/>
    <w:rsid w:val="6E0948CB"/>
    <w:rsid w:val="6E1D4682"/>
    <w:rsid w:val="6E244E84"/>
    <w:rsid w:val="6E337B9A"/>
    <w:rsid w:val="6E576922"/>
    <w:rsid w:val="6E7004A6"/>
    <w:rsid w:val="6E993C44"/>
    <w:rsid w:val="6EA91614"/>
    <w:rsid w:val="6ED17381"/>
    <w:rsid w:val="6EDD27BB"/>
    <w:rsid w:val="6EE02B9E"/>
    <w:rsid w:val="6EE3336E"/>
    <w:rsid w:val="6EF971A6"/>
    <w:rsid w:val="6F157D71"/>
    <w:rsid w:val="6F2D783B"/>
    <w:rsid w:val="6F72024E"/>
    <w:rsid w:val="6F9B53E3"/>
    <w:rsid w:val="6FA0620A"/>
    <w:rsid w:val="6FB42615"/>
    <w:rsid w:val="6FD95BCF"/>
    <w:rsid w:val="70383246"/>
    <w:rsid w:val="703B3288"/>
    <w:rsid w:val="704909E8"/>
    <w:rsid w:val="70640871"/>
    <w:rsid w:val="70690D84"/>
    <w:rsid w:val="706B3710"/>
    <w:rsid w:val="707575C5"/>
    <w:rsid w:val="70C42D2B"/>
    <w:rsid w:val="70FB4E07"/>
    <w:rsid w:val="71084D37"/>
    <w:rsid w:val="711772FF"/>
    <w:rsid w:val="71436346"/>
    <w:rsid w:val="714C4791"/>
    <w:rsid w:val="71543F86"/>
    <w:rsid w:val="716E1AA5"/>
    <w:rsid w:val="71A21245"/>
    <w:rsid w:val="71A5032B"/>
    <w:rsid w:val="71E36033"/>
    <w:rsid w:val="722B2F9D"/>
    <w:rsid w:val="725B22AA"/>
    <w:rsid w:val="72A526E9"/>
    <w:rsid w:val="72AD7FE4"/>
    <w:rsid w:val="72AE2D0B"/>
    <w:rsid w:val="72D059B7"/>
    <w:rsid w:val="72FC1952"/>
    <w:rsid w:val="7336375D"/>
    <w:rsid w:val="73612AB3"/>
    <w:rsid w:val="73CA0659"/>
    <w:rsid w:val="73EA643E"/>
    <w:rsid w:val="740022CC"/>
    <w:rsid w:val="74035919"/>
    <w:rsid w:val="74100A9F"/>
    <w:rsid w:val="7439127E"/>
    <w:rsid w:val="74455F31"/>
    <w:rsid w:val="746E4F7C"/>
    <w:rsid w:val="746F7452"/>
    <w:rsid w:val="7491339E"/>
    <w:rsid w:val="74B25A2F"/>
    <w:rsid w:val="74BF7D37"/>
    <w:rsid w:val="74C94DB4"/>
    <w:rsid w:val="74D3353D"/>
    <w:rsid w:val="74EB56DA"/>
    <w:rsid w:val="75054CA9"/>
    <w:rsid w:val="750F214E"/>
    <w:rsid w:val="751A0118"/>
    <w:rsid w:val="75232716"/>
    <w:rsid w:val="75D66C19"/>
    <w:rsid w:val="760E6D35"/>
    <w:rsid w:val="764346F2"/>
    <w:rsid w:val="76966F18"/>
    <w:rsid w:val="76AA70A3"/>
    <w:rsid w:val="76CD2BCD"/>
    <w:rsid w:val="76DA32A9"/>
    <w:rsid w:val="77047FAC"/>
    <w:rsid w:val="7706409E"/>
    <w:rsid w:val="771B11CB"/>
    <w:rsid w:val="772C162A"/>
    <w:rsid w:val="773724A9"/>
    <w:rsid w:val="77617526"/>
    <w:rsid w:val="77CB2E94"/>
    <w:rsid w:val="77F008AA"/>
    <w:rsid w:val="77FA54F3"/>
    <w:rsid w:val="77FD5F37"/>
    <w:rsid w:val="78216034"/>
    <w:rsid w:val="78320EC2"/>
    <w:rsid w:val="783F7BD0"/>
    <w:rsid w:val="78562ADC"/>
    <w:rsid w:val="786E1A50"/>
    <w:rsid w:val="78DA7396"/>
    <w:rsid w:val="791660EE"/>
    <w:rsid w:val="791C4252"/>
    <w:rsid w:val="79584959"/>
    <w:rsid w:val="79701CA2"/>
    <w:rsid w:val="79825532"/>
    <w:rsid w:val="798F5EAC"/>
    <w:rsid w:val="7999696C"/>
    <w:rsid w:val="79B31F62"/>
    <w:rsid w:val="79C124FE"/>
    <w:rsid w:val="79DA01BA"/>
    <w:rsid w:val="79E9735F"/>
    <w:rsid w:val="7A430024"/>
    <w:rsid w:val="7A6B1890"/>
    <w:rsid w:val="7A8D418E"/>
    <w:rsid w:val="7AB3115A"/>
    <w:rsid w:val="7AB93D86"/>
    <w:rsid w:val="7AC45E22"/>
    <w:rsid w:val="7AD61FD9"/>
    <w:rsid w:val="7BE54C60"/>
    <w:rsid w:val="7BE964DE"/>
    <w:rsid w:val="7C0079A3"/>
    <w:rsid w:val="7C03472B"/>
    <w:rsid w:val="7C120DEF"/>
    <w:rsid w:val="7C4E394F"/>
    <w:rsid w:val="7C5D285A"/>
    <w:rsid w:val="7C6872DF"/>
    <w:rsid w:val="7C955E7D"/>
    <w:rsid w:val="7CB03D86"/>
    <w:rsid w:val="7CDF0147"/>
    <w:rsid w:val="7CEF137A"/>
    <w:rsid w:val="7D007C35"/>
    <w:rsid w:val="7D1C7E43"/>
    <w:rsid w:val="7D3C4BD5"/>
    <w:rsid w:val="7D4634C6"/>
    <w:rsid w:val="7D9808DB"/>
    <w:rsid w:val="7DD24CD9"/>
    <w:rsid w:val="7DD54E72"/>
    <w:rsid w:val="7E444CC1"/>
    <w:rsid w:val="7E4F23DB"/>
    <w:rsid w:val="7E5A4CCF"/>
    <w:rsid w:val="7E7F0292"/>
    <w:rsid w:val="7E9401E1"/>
    <w:rsid w:val="7EE36A72"/>
    <w:rsid w:val="7EEE23D2"/>
    <w:rsid w:val="7F854044"/>
    <w:rsid w:val="7F957CD7"/>
    <w:rsid w:val="7F967DE7"/>
    <w:rsid w:val="7FD4460D"/>
    <w:rsid w:val="7FE94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华文仿宋" w:cs="Times New Roman"/>
      <w:kern w:val="2"/>
      <w:sz w:val="30"/>
      <w:lang w:val="en-US" w:eastAsia="zh-CN" w:bidi="ar-SA"/>
    </w:rPr>
  </w:style>
  <w:style w:type="paragraph" w:styleId="2">
    <w:name w:val="heading 1"/>
    <w:basedOn w:val="1"/>
    <w:next w:val="1"/>
    <w:qFormat/>
    <w:uiPriority w:val="9"/>
    <w:pPr>
      <w:keepNext/>
      <w:keepLines/>
      <w:outlineLvl w:val="0"/>
    </w:pPr>
    <w:rPr>
      <w:rFonts w:eastAsia="黑体"/>
      <w:kern w:val="44"/>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nhideWhenUsed/>
    <w:qFormat/>
    <w:uiPriority w:val="99"/>
    <w:pPr>
      <w:spacing w:after="120" w:line="240" w:lineRule="auto"/>
      <w:ind w:firstLine="0" w:firstLineChars="0"/>
    </w:pPr>
    <w:rPr>
      <w:rFonts w:eastAsia="宋体"/>
      <w:sz w:val="26"/>
    </w:rPr>
  </w:style>
  <w:style w:type="paragraph" w:styleId="4">
    <w:name w:val="Plain Text"/>
    <w:basedOn w:val="1"/>
    <w:link w:val="36"/>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5">
    <w:name w:val="Balloon Text"/>
    <w:basedOn w:val="1"/>
    <w:link w:val="26"/>
    <w:semiHidden/>
    <w:unhideWhenUsed/>
    <w:qFormat/>
    <w:uiPriority w:val="99"/>
    <w:pPr>
      <w:spacing w:line="240" w:lineRule="auto"/>
    </w:pPr>
    <w:rPr>
      <w:sz w:val="18"/>
      <w:szCs w:val="18"/>
    </w:rPr>
  </w:style>
  <w:style w:type="paragraph" w:styleId="6">
    <w:name w:val="footer"/>
    <w:basedOn w:val="1"/>
    <w:link w:val="28"/>
    <w:qFormat/>
    <w:uiPriority w:val="99"/>
    <w:pPr>
      <w:tabs>
        <w:tab w:val="center" w:pos="4153"/>
        <w:tab w:val="right" w:pos="8306"/>
      </w:tabs>
      <w:snapToGrid w:val="0"/>
      <w:jc w:val="left"/>
    </w:pPr>
    <w:rPr>
      <w:sz w:val="18"/>
    </w:rPr>
  </w:style>
  <w:style w:type="paragraph" w:styleId="7">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Subtitle"/>
    <w:basedOn w:val="1"/>
    <w:next w:val="1"/>
    <w:link w:val="21"/>
    <w:qFormat/>
    <w:uiPriority w:val="11"/>
    <w:pPr>
      <w:jc w:val="left"/>
      <w:outlineLvl w:val="1"/>
    </w:pPr>
    <w:rPr>
      <w:rFonts w:ascii="Cambria" w:hAnsi="Cambria" w:eastAsia="黑体"/>
      <w:bCs/>
      <w:kern w:val="28"/>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10">
    <w:name w:val="Normal (Web)"/>
    <w:basedOn w:val="1"/>
    <w:unhideWhenUsed/>
    <w:qFormat/>
    <w:uiPriority w:val="99"/>
    <w:pPr>
      <w:spacing w:beforeAutospacing="1" w:afterAutospacing="1"/>
      <w:jc w:val="left"/>
    </w:pPr>
    <w:rPr>
      <w:kern w:val="0"/>
      <w:sz w:val="24"/>
    </w:rPr>
  </w:style>
  <w:style w:type="paragraph" w:styleId="11">
    <w:name w:val="Title"/>
    <w:basedOn w:val="1"/>
    <w:next w:val="1"/>
    <w:qFormat/>
    <w:uiPriority w:val="10"/>
    <w:pPr>
      <w:spacing w:before="240" w:after="60"/>
      <w:jc w:val="center"/>
      <w:outlineLvl w:val="0"/>
    </w:pPr>
    <w:rPr>
      <w:rFonts w:ascii="Cambria" w:hAnsi="Cambria" w:eastAsia="宋体" w:cs="黑体"/>
      <w:b/>
      <w:bCs/>
      <w:sz w:val="32"/>
      <w:szCs w:val="32"/>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rPr>
  </w:style>
  <w:style w:type="character" w:styleId="16">
    <w:name w:val="FollowedHyperlink"/>
    <w:basedOn w:val="14"/>
    <w:semiHidden/>
    <w:unhideWhenUsed/>
    <w:qFormat/>
    <w:uiPriority w:val="99"/>
    <w:rPr>
      <w:color w:val="333333"/>
      <w:u w:val="none"/>
    </w:rPr>
  </w:style>
  <w:style w:type="character" w:styleId="17">
    <w:name w:val="Emphasis"/>
    <w:basedOn w:val="14"/>
    <w:qFormat/>
    <w:uiPriority w:val="20"/>
  </w:style>
  <w:style w:type="character" w:styleId="18">
    <w:name w:val="Hyperlink"/>
    <w:basedOn w:val="14"/>
    <w:semiHidden/>
    <w:unhideWhenUsed/>
    <w:qFormat/>
    <w:uiPriority w:val="99"/>
    <w:rPr>
      <w:color w:val="333333"/>
      <w:u w:val="none"/>
    </w:rPr>
  </w:style>
  <w:style w:type="character" w:customStyle="1" w:styleId="19">
    <w:name w:val="textblack02"/>
    <w:basedOn w:val="14"/>
    <w:qFormat/>
    <w:uiPriority w:val="0"/>
  </w:style>
  <w:style w:type="character" w:customStyle="1" w:styleId="20">
    <w:name w:val="font21"/>
    <w:qFormat/>
    <w:uiPriority w:val="0"/>
    <w:rPr>
      <w:rFonts w:hint="eastAsia" w:ascii="宋体" w:hAnsi="宋体" w:eastAsia="宋体" w:cs="宋体"/>
      <w:color w:val="000000"/>
      <w:sz w:val="18"/>
      <w:szCs w:val="18"/>
      <w:u w:val="none"/>
    </w:rPr>
  </w:style>
  <w:style w:type="character" w:customStyle="1" w:styleId="21">
    <w:name w:val="副标题 字符"/>
    <w:link w:val="8"/>
    <w:qFormat/>
    <w:uiPriority w:val="11"/>
    <w:rPr>
      <w:rFonts w:ascii="Cambria" w:hAnsi="Cambria" w:eastAsia="黑体" w:cs="Times New Roman"/>
      <w:bCs/>
      <w:kern w:val="28"/>
      <w:sz w:val="30"/>
      <w:szCs w:val="32"/>
    </w:rPr>
  </w:style>
  <w:style w:type="character" w:customStyle="1" w:styleId="22">
    <w:name w:val="正文文本 字符"/>
    <w:link w:val="3"/>
    <w:qFormat/>
    <w:uiPriority w:val="99"/>
    <w:rPr>
      <w:kern w:val="2"/>
      <w:sz w:val="26"/>
    </w:rPr>
  </w:style>
  <w:style w:type="character" w:customStyle="1" w:styleId="23">
    <w:name w:val="font11"/>
    <w:qFormat/>
    <w:uiPriority w:val="0"/>
    <w:rPr>
      <w:rFonts w:hint="eastAsia" w:ascii="宋体" w:hAnsi="宋体" w:eastAsia="宋体" w:cs="宋体"/>
      <w:color w:val="000000"/>
      <w:sz w:val="18"/>
      <w:szCs w:val="18"/>
      <w:u w:val="none"/>
    </w:rPr>
  </w:style>
  <w:style w:type="paragraph" w:customStyle="1" w:styleId="24">
    <w:name w:val="p"/>
    <w:basedOn w:val="1"/>
    <w:qFormat/>
    <w:uiPriority w:val="0"/>
    <w:pPr>
      <w:widowControl/>
      <w:spacing w:before="100" w:beforeAutospacing="1" w:after="100" w:afterAutospacing="1" w:line="240" w:lineRule="auto"/>
      <w:ind w:firstLine="0" w:firstLineChars="0"/>
      <w:jc w:val="left"/>
    </w:pPr>
    <w:rPr>
      <w:kern w:val="0"/>
      <w:sz w:val="24"/>
    </w:rPr>
  </w:style>
  <w:style w:type="paragraph" w:customStyle="1" w:styleId="25">
    <w:name w:val="Char Char Char Char Char Char Char Char Char Char Char Char Char"/>
    <w:basedOn w:val="1"/>
    <w:qFormat/>
    <w:uiPriority w:val="0"/>
    <w:pPr>
      <w:spacing w:line="240" w:lineRule="auto"/>
      <w:ind w:firstLine="0" w:firstLineChars="0"/>
    </w:pPr>
    <w:rPr>
      <w:rFonts w:ascii="Tahoma" w:hAnsi="Tahoma" w:eastAsia="宋体"/>
      <w:sz w:val="24"/>
    </w:rPr>
  </w:style>
  <w:style w:type="character" w:customStyle="1" w:styleId="26">
    <w:name w:val="批注框文本 字符"/>
    <w:basedOn w:val="14"/>
    <w:link w:val="5"/>
    <w:semiHidden/>
    <w:qFormat/>
    <w:uiPriority w:val="99"/>
    <w:rPr>
      <w:rFonts w:eastAsia="华文仿宋"/>
      <w:kern w:val="2"/>
      <w:sz w:val="18"/>
      <w:szCs w:val="18"/>
    </w:rPr>
  </w:style>
  <w:style w:type="character" w:customStyle="1" w:styleId="27">
    <w:name w:val="页眉 字符"/>
    <w:basedOn w:val="14"/>
    <w:link w:val="7"/>
    <w:qFormat/>
    <w:uiPriority w:val="99"/>
    <w:rPr>
      <w:rFonts w:eastAsia="华文仿宋"/>
      <w:kern w:val="2"/>
      <w:sz w:val="18"/>
    </w:rPr>
  </w:style>
  <w:style w:type="character" w:customStyle="1" w:styleId="28">
    <w:name w:val="页脚 字符"/>
    <w:basedOn w:val="14"/>
    <w:link w:val="6"/>
    <w:qFormat/>
    <w:uiPriority w:val="99"/>
    <w:rPr>
      <w:rFonts w:eastAsia="华文仿宋"/>
      <w:kern w:val="2"/>
      <w:sz w:val="18"/>
    </w:rPr>
  </w:style>
  <w:style w:type="character" w:customStyle="1" w:styleId="29">
    <w:name w:val="on"/>
    <w:basedOn w:val="14"/>
    <w:qFormat/>
    <w:uiPriority w:val="0"/>
    <w:rPr>
      <w:shd w:val="clear" w:color="auto" w:fill="FFFFFF"/>
    </w:rPr>
  </w:style>
  <w:style w:type="paragraph" w:customStyle="1" w:styleId="30">
    <w:name w:val="_Style 28"/>
    <w:basedOn w:val="1"/>
    <w:next w:val="1"/>
    <w:qFormat/>
    <w:uiPriority w:val="0"/>
    <w:pPr>
      <w:pBdr>
        <w:bottom w:val="single" w:color="auto" w:sz="6" w:space="1"/>
      </w:pBdr>
      <w:jc w:val="center"/>
    </w:pPr>
    <w:rPr>
      <w:rFonts w:ascii="Arial" w:eastAsia="宋体"/>
      <w:vanish/>
      <w:sz w:val="16"/>
    </w:rPr>
  </w:style>
  <w:style w:type="paragraph" w:customStyle="1" w:styleId="31">
    <w:name w:val="_Style 29"/>
    <w:basedOn w:val="1"/>
    <w:next w:val="1"/>
    <w:qFormat/>
    <w:uiPriority w:val="0"/>
    <w:pPr>
      <w:pBdr>
        <w:top w:val="single" w:color="auto" w:sz="6" w:space="1"/>
      </w:pBdr>
      <w:jc w:val="center"/>
    </w:pPr>
    <w:rPr>
      <w:rFonts w:ascii="Arial" w:eastAsia="宋体"/>
      <w:vanish/>
      <w:sz w:val="16"/>
    </w:rPr>
  </w:style>
  <w:style w:type="character" w:customStyle="1" w:styleId="32">
    <w:name w:val="font01"/>
    <w:basedOn w:val="14"/>
    <w:qFormat/>
    <w:uiPriority w:val="0"/>
    <w:rPr>
      <w:rFonts w:hint="eastAsia" w:ascii="宋体" w:hAnsi="宋体" w:eastAsia="宋体" w:cs="宋体"/>
      <w:color w:val="000000"/>
      <w:sz w:val="18"/>
      <w:szCs w:val="18"/>
      <w:u w:val="none"/>
    </w:rPr>
  </w:style>
  <w:style w:type="character" w:customStyle="1" w:styleId="33">
    <w:name w:val="font31"/>
    <w:basedOn w:val="14"/>
    <w:qFormat/>
    <w:uiPriority w:val="0"/>
    <w:rPr>
      <w:rFonts w:hint="eastAsia" w:ascii="华文仿宋" w:hAnsi="华文仿宋" w:eastAsia="华文仿宋" w:cs="华文仿宋"/>
      <w:b/>
      <w:bCs/>
      <w:color w:val="FF0000"/>
      <w:sz w:val="18"/>
      <w:szCs w:val="18"/>
      <w:u w:val="none"/>
    </w:rPr>
  </w:style>
  <w:style w:type="table" w:customStyle="1" w:styleId="3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5">
    <w:name w:val="Table Paragraph"/>
    <w:basedOn w:val="1"/>
    <w:qFormat/>
    <w:uiPriority w:val="1"/>
    <w:pPr>
      <w:autoSpaceDE w:val="0"/>
      <w:autoSpaceDN w:val="0"/>
      <w:spacing w:line="240" w:lineRule="auto"/>
      <w:ind w:firstLine="0" w:firstLineChars="0"/>
      <w:jc w:val="left"/>
    </w:pPr>
    <w:rPr>
      <w:rFonts w:ascii="仿宋" w:hAnsi="仿宋" w:eastAsia="仿宋" w:cs="仿宋"/>
      <w:kern w:val="0"/>
      <w:sz w:val="22"/>
      <w:szCs w:val="22"/>
      <w:lang w:val="zh-CN" w:bidi="zh-CN"/>
    </w:rPr>
  </w:style>
  <w:style w:type="character" w:customStyle="1" w:styleId="36">
    <w:name w:val="纯文本 字符"/>
    <w:basedOn w:val="14"/>
    <w:link w:val="4"/>
    <w:semiHidden/>
    <w:qFormat/>
    <w:uiPriority w:val="99"/>
    <w:rPr>
      <w:rFonts w:ascii="宋体" w:hAnsi="宋体" w:cs="宋体"/>
      <w:sz w:val="24"/>
      <w:szCs w:val="24"/>
    </w:rPr>
  </w:style>
  <w:style w:type="character" w:customStyle="1" w:styleId="37">
    <w:name w:val="font41"/>
    <w:basedOn w:val="14"/>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0E74C-246F-4C20-A84E-6DFAAD490EA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17658</Words>
  <Characters>18629</Characters>
  <Lines>1</Lines>
  <Paragraphs>1</Paragraphs>
  <TotalTime>26</TotalTime>
  <ScaleCrop>false</ScaleCrop>
  <LinksUpToDate>false</LinksUpToDate>
  <CharactersWithSpaces>18711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2019-07-19T04:20:00Z</dcterms:created>
  <dc:creator>admin</dc:creator>
  <cp:lastModifiedBy>zhaolu</cp:lastModifiedBy>
  <cp:lastPrinted>2022-06-20T01:05:00Z</cp:lastPrinted>
  <dcterms:modified xsi:type="dcterms:W3CDTF">2022-07-10T02:49:53Z</dcterms:modified>
  <dc:title>各系部：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2E5FEB413C0C4262B3017034006CF94D</vt:lpwstr>
  </property>
</Properties>
</file>